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EDF" w:rsidRPr="0000525D" w:rsidRDefault="00197EDF">
      <w:pPr>
        <w:rPr>
          <w:rFonts w:ascii="Times New Roman" w:hAnsi="Times New Roman" w:cs="Times New Roman"/>
          <w:sz w:val="24"/>
          <w:szCs w:val="24"/>
        </w:rPr>
      </w:pPr>
      <w:r w:rsidRPr="0000525D">
        <w:rPr>
          <w:rFonts w:ascii="Times New Roman" w:hAnsi="Times New Roman" w:cs="Times New Roman"/>
          <w:sz w:val="24"/>
          <w:szCs w:val="24"/>
        </w:rPr>
        <w:t xml:space="preserve">This </w:t>
      </w:r>
      <w:r w:rsidR="00602E9F">
        <w:rPr>
          <w:rFonts w:ascii="Times New Roman" w:hAnsi="Times New Roman" w:cs="Times New Roman"/>
          <w:sz w:val="24"/>
          <w:szCs w:val="24"/>
        </w:rPr>
        <w:t xml:space="preserve">Quick Reference </w:t>
      </w:r>
      <w:r w:rsidRPr="0000525D">
        <w:rPr>
          <w:rFonts w:ascii="Times New Roman" w:hAnsi="Times New Roman" w:cs="Times New Roman"/>
          <w:sz w:val="24"/>
          <w:szCs w:val="24"/>
        </w:rPr>
        <w:t xml:space="preserve">Guide </w:t>
      </w:r>
      <w:r w:rsidR="00602E9F">
        <w:rPr>
          <w:rFonts w:ascii="Times New Roman" w:hAnsi="Times New Roman" w:cs="Times New Roman"/>
          <w:sz w:val="24"/>
          <w:szCs w:val="24"/>
        </w:rPr>
        <w:t xml:space="preserve">(QRG) </w:t>
      </w:r>
      <w:r w:rsidRPr="0000525D">
        <w:rPr>
          <w:rFonts w:ascii="Times New Roman" w:hAnsi="Times New Roman" w:cs="Times New Roman"/>
          <w:sz w:val="24"/>
          <w:szCs w:val="24"/>
        </w:rPr>
        <w:t>is to assist</w:t>
      </w:r>
      <w:r w:rsidR="00085B8E">
        <w:rPr>
          <w:rFonts w:ascii="Times New Roman" w:hAnsi="Times New Roman" w:cs="Times New Roman"/>
          <w:sz w:val="24"/>
          <w:szCs w:val="24"/>
        </w:rPr>
        <w:t xml:space="preserve"> </w:t>
      </w:r>
      <w:r w:rsidR="002D1CE9">
        <w:rPr>
          <w:rFonts w:ascii="Times New Roman" w:hAnsi="Times New Roman" w:cs="Times New Roman"/>
          <w:sz w:val="24"/>
          <w:szCs w:val="24"/>
        </w:rPr>
        <w:t xml:space="preserve">Navy </w:t>
      </w:r>
      <w:r w:rsidRPr="0000525D">
        <w:rPr>
          <w:rFonts w:ascii="Times New Roman" w:hAnsi="Times New Roman" w:cs="Times New Roman"/>
          <w:sz w:val="24"/>
          <w:szCs w:val="24"/>
        </w:rPr>
        <w:t xml:space="preserve">officers in understanding and navigating </w:t>
      </w:r>
      <w:r w:rsidR="00602E9F">
        <w:rPr>
          <w:rFonts w:ascii="Times New Roman" w:hAnsi="Times New Roman" w:cs="Times New Roman"/>
          <w:sz w:val="24"/>
          <w:szCs w:val="24"/>
        </w:rPr>
        <w:t xml:space="preserve">the </w:t>
      </w:r>
      <w:r w:rsidRPr="0000525D">
        <w:rPr>
          <w:rFonts w:ascii="Times New Roman" w:hAnsi="Times New Roman" w:cs="Times New Roman"/>
          <w:sz w:val="24"/>
          <w:szCs w:val="24"/>
        </w:rPr>
        <w:t>processes associated with the D</w:t>
      </w:r>
      <w:r w:rsidR="00A31528">
        <w:rPr>
          <w:rFonts w:ascii="Times New Roman" w:hAnsi="Times New Roman" w:cs="Times New Roman"/>
          <w:sz w:val="24"/>
          <w:szCs w:val="24"/>
        </w:rPr>
        <w:t>epartment of Navy’s</w:t>
      </w:r>
      <w:r w:rsidRPr="0000525D">
        <w:rPr>
          <w:rFonts w:ascii="Times New Roman" w:hAnsi="Times New Roman" w:cs="Times New Roman"/>
          <w:sz w:val="24"/>
          <w:szCs w:val="24"/>
        </w:rPr>
        <w:t xml:space="preserve"> application of the Defense Acquisition Workforce Improvement Act (DAWIA).  </w:t>
      </w:r>
      <w:r w:rsidR="003328E9" w:rsidRPr="0000525D">
        <w:rPr>
          <w:rFonts w:ascii="Times New Roman" w:hAnsi="Times New Roman" w:cs="Times New Roman"/>
          <w:sz w:val="24"/>
          <w:szCs w:val="24"/>
        </w:rPr>
        <w:t>T</w:t>
      </w:r>
      <w:r w:rsidR="007F42A8" w:rsidRPr="0000525D">
        <w:rPr>
          <w:rFonts w:ascii="Times New Roman" w:hAnsi="Times New Roman" w:cs="Times New Roman"/>
          <w:sz w:val="24"/>
          <w:szCs w:val="24"/>
        </w:rPr>
        <w:t xml:space="preserve">he information </w:t>
      </w:r>
      <w:r w:rsidR="00602E9F">
        <w:rPr>
          <w:rFonts w:ascii="Times New Roman" w:hAnsi="Times New Roman" w:cs="Times New Roman"/>
          <w:sz w:val="24"/>
          <w:szCs w:val="24"/>
        </w:rPr>
        <w:t>i</w:t>
      </w:r>
      <w:r w:rsidR="007536D2">
        <w:rPr>
          <w:rFonts w:ascii="Times New Roman" w:hAnsi="Times New Roman" w:cs="Times New Roman"/>
          <w:sz w:val="24"/>
          <w:szCs w:val="24"/>
        </w:rPr>
        <w:t xml:space="preserve">s </w:t>
      </w:r>
      <w:r w:rsidR="00602E9F">
        <w:rPr>
          <w:rFonts w:ascii="Times New Roman" w:hAnsi="Times New Roman" w:cs="Times New Roman"/>
          <w:sz w:val="24"/>
          <w:szCs w:val="24"/>
        </w:rPr>
        <w:t xml:space="preserve">intended </w:t>
      </w:r>
      <w:r w:rsidR="007F42A8" w:rsidRPr="0000525D">
        <w:rPr>
          <w:rFonts w:ascii="Times New Roman" w:hAnsi="Times New Roman" w:cs="Times New Roman"/>
          <w:sz w:val="24"/>
          <w:szCs w:val="24"/>
        </w:rPr>
        <w:t>t</w:t>
      </w:r>
      <w:r w:rsidR="001657F0" w:rsidRPr="0000525D">
        <w:rPr>
          <w:rFonts w:ascii="Times New Roman" w:hAnsi="Times New Roman" w:cs="Times New Roman"/>
          <w:sz w:val="24"/>
          <w:szCs w:val="24"/>
        </w:rPr>
        <w:t>o supplement</w:t>
      </w:r>
      <w:r w:rsidR="00DE3416">
        <w:rPr>
          <w:rFonts w:ascii="Times New Roman" w:hAnsi="Times New Roman" w:cs="Times New Roman"/>
          <w:sz w:val="24"/>
          <w:szCs w:val="24"/>
        </w:rPr>
        <w:t xml:space="preserve"> policy guidance contained in</w:t>
      </w:r>
      <w:r w:rsidR="00912582" w:rsidRPr="0000525D">
        <w:rPr>
          <w:rFonts w:ascii="Times New Roman" w:hAnsi="Times New Roman" w:cs="Times New Roman"/>
          <w:sz w:val="24"/>
          <w:szCs w:val="24"/>
        </w:rPr>
        <w:t xml:space="preserve"> </w:t>
      </w:r>
      <w:proofErr w:type="spellStart"/>
      <w:r w:rsidR="008F6F58">
        <w:rPr>
          <w:rFonts w:ascii="Times New Roman" w:hAnsi="Times New Roman" w:cs="Times New Roman"/>
          <w:sz w:val="24"/>
          <w:szCs w:val="24"/>
        </w:rPr>
        <w:t>DoDI</w:t>
      </w:r>
      <w:proofErr w:type="spellEnd"/>
      <w:r w:rsidR="008F6F58">
        <w:rPr>
          <w:rFonts w:ascii="Times New Roman" w:hAnsi="Times New Roman" w:cs="Times New Roman"/>
          <w:sz w:val="24"/>
          <w:szCs w:val="24"/>
        </w:rPr>
        <w:t xml:space="preserve"> 5000.66 and the </w:t>
      </w:r>
      <w:r w:rsidR="004D7E37">
        <w:rPr>
          <w:rFonts w:ascii="Times New Roman" w:hAnsi="Times New Roman" w:cs="Times New Roman"/>
          <w:sz w:val="24"/>
          <w:szCs w:val="24"/>
        </w:rPr>
        <w:t xml:space="preserve">DON DAWIA Operating Guide.  </w:t>
      </w:r>
    </w:p>
    <w:p w:rsidR="00CC2BA2" w:rsidRDefault="008F6F58">
      <w:pPr>
        <w:rPr>
          <w:rFonts w:ascii="Times New Roman" w:hAnsi="Times New Roman" w:cs="Times New Roman"/>
          <w:sz w:val="24"/>
          <w:szCs w:val="24"/>
        </w:rPr>
      </w:pPr>
      <w:r>
        <w:rPr>
          <w:rFonts w:ascii="Times New Roman" w:hAnsi="Times New Roman" w:cs="Times New Roman"/>
          <w:sz w:val="24"/>
          <w:szCs w:val="24"/>
        </w:rPr>
        <w:t xml:space="preserve">Budget Submitting Offices (BSOs) </w:t>
      </w:r>
      <w:r w:rsidR="00C962E2">
        <w:rPr>
          <w:rFonts w:ascii="Times New Roman" w:hAnsi="Times New Roman" w:cs="Times New Roman"/>
          <w:sz w:val="24"/>
          <w:szCs w:val="24"/>
        </w:rPr>
        <w:t xml:space="preserve">are to designate billets with acquisition requirements if the majority of the duties meet the DON definition of core acquisition.  If assigned to an acquisition-coded billet, </w:t>
      </w:r>
      <w:r w:rsidR="001F5C7D" w:rsidRPr="0000525D">
        <w:rPr>
          <w:rFonts w:ascii="Times New Roman" w:hAnsi="Times New Roman" w:cs="Times New Roman"/>
          <w:sz w:val="24"/>
          <w:szCs w:val="24"/>
        </w:rPr>
        <w:t>o</w:t>
      </w:r>
      <w:r w:rsidR="00CB379B" w:rsidRPr="0000525D">
        <w:rPr>
          <w:rFonts w:ascii="Times New Roman" w:hAnsi="Times New Roman" w:cs="Times New Roman"/>
          <w:sz w:val="24"/>
          <w:szCs w:val="24"/>
        </w:rPr>
        <w:t xml:space="preserve">fficers </w:t>
      </w:r>
      <w:r w:rsidR="00C962E2">
        <w:rPr>
          <w:rFonts w:ascii="Times New Roman" w:hAnsi="Times New Roman" w:cs="Times New Roman"/>
          <w:sz w:val="24"/>
          <w:szCs w:val="24"/>
        </w:rPr>
        <w:t xml:space="preserve">are required to meet primary functional area certification within established timeframes.  </w:t>
      </w:r>
    </w:p>
    <w:p w:rsidR="00CC2BA2" w:rsidRDefault="00CC2BA2">
      <w:pPr>
        <w:rPr>
          <w:rFonts w:ascii="Times New Roman" w:hAnsi="Times New Roman" w:cs="Times New Roman"/>
          <w:sz w:val="24"/>
          <w:szCs w:val="24"/>
        </w:rPr>
      </w:pPr>
      <w:r>
        <w:rPr>
          <w:rFonts w:ascii="Times New Roman" w:hAnsi="Times New Roman" w:cs="Times New Roman"/>
          <w:sz w:val="24"/>
          <w:szCs w:val="24"/>
        </w:rPr>
        <w:t>Officers from the following communities</w:t>
      </w:r>
      <w:r w:rsidR="008F6F58">
        <w:rPr>
          <w:rFonts w:ascii="Times New Roman" w:hAnsi="Times New Roman" w:cs="Times New Roman"/>
          <w:sz w:val="24"/>
          <w:szCs w:val="24"/>
        </w:rPr>
        <w:t xml:space="preserve"> pursuing an acquisition career </w:t>
      </w:r>
      <w:r>
        <w:rPr>
          <w:rFonts w:ascii="Times New Roman" w:hAnsi="Times New Roman" w:cs="Times New Roman"/>
          <w:sz w:val="24"/>
          <w:szCs w:val="24"/>
        </w:rPr>
        <w:t xml:space="preserve">are recognized as acquisition workforce members regardless of billet coding:  URL (11X0 &amp; 13X0) with a formal signed agreement to pursue an acquisition career path, EDO (14X0), AEDO and AMDO (15X0), SC (3100) with ACX or AKX additional qualification designation, </w:t>
      </w:r>
      <w:r w:rsidR="009D5F46">
        <w:rPr>
          <w:rFonts w:ascii="Times New Roman" w:hAnsi="Times New Roman" w:cs="Times New Roman"/>
          <w:sz w:val="24"/>
          <w:szCs w:val="24"/>
        </w:rPr>
        <w:t xml:space="preserve">and CEC (5100). </w:t>
      </w:r>
    </w:p>
    <w:p w:rsidR="00CC2BA2" w:rsidRDefault="009D5F46">
      <w:pPr>
        <w:rPr>
          <w:rFonts w:ascii="Times New Roman" w:hAnsi="Times New Roman" w:cs="Times New Roman"/>
          <w:sz w:val="24"/>
          <w:szCs w:val="24"/>
        </w:rPr>
      </w:pPr>
      <w:r>
        <w:rPr>
          <w:rFonts w:ascii="Times New Roman" w:hAnsi="Times New Roman" w:cs="Times New Roman"/>
          <w:sz w:val="24"/>
          <w:szCs w:val="24"/>
        </w:rPr>
        <w:t xml:space="preserve">The two areas of most interest to the acquisition community are </w:t>
      </w:r>
      <w:r w:rsidRPr="00C47C4E">
        <w:rPr>
          <w:rFonts w:ascii="Times New Roman" w:hAnsi="Times New Roman" w:cs="Times New Roman"/>
          <w:i/>
          <w:sz w:val="24"/>
          <w:szCs w:val="24"/>
        </w:rPr>
        <w:t>functional area certification</w:t>
      </w:r>
      <w:r>
        <w:rPr>
          <w:rFonts w:ascii="Times New Roman" w:hAnsi="Times New Roman" w:cs="Times New Roman"/>
          <w:sz w:val="24"/>
          <w:szCs w:val="24"/>
        </w:rPr>
        <w:t xml:space="preserve"> and </w:t>
      </w:r>
      <w:r w:rsidRPr="00C47C4E">
        <w:rPr>
          <w:rFonts w:ascii="Times New Roman" w:hAnsi="Times New Roman" w:cs="Times New Roman"/>
          <w:i/>
          <w:sz w:val="24"/>
          <w:szCs w:val="24"/>
        </w:rPr>
        <w:t>Acquisition Professional Membership (APM)</w:t>
      </w:r>
      <w:r>
        <w:rPr>
          <w:rFonts w:ascii="Times New Roman" w:hAnsi="Times New Roman" w:cs="Times New Roman"/>
          <w:sz w:val="24"/>
          <w:szCs w:val="24"/>
        </w:rPr>
        <w:t>.  F</w:t>
      </w:r>
      <w:r w:rsidR="00C962E2">
        <w:rPr>
          <w:rFonts w:ascii="Times New Roman" w:hAnsi="Times New Roman" w:cs="Times New Roman"/>
          <w:sz w:val="24"/>
          <w:szCs w:val="24"/>
        </w:rPr>
        <w:t xml:space="preserve">unctional area certification typically has three standards:  acquisition experience, training and education.  </w:t>
      </w:r>
      <w:r>
        <w:rPr>
          <w:rFonts w:ascii="Times New Roman" w:hAnsi="Times New Roman" w:cs="Times New Roman"/>
          <w:sz w:val="24"/>
          <w:szCs w:val="24"/>
        </w:rPr>
        <w:t xml:space="preserve">Certification may be requested through the Navy </w:t>
      </w:r>
      <w:hyperlink r:id="rId8" w:history="1">
        <w:r w:rsidRPr="00602E9F">
          <w:rPr>
            <w:rStyle w:val="Hyperlink"/>
            <w:rFonts w:ascii="Times New Roman" w:hAnsi="Times New Roman" w:cs="Times New Roman"/>
            <w:sz w:val="24"/>
            <w:szCs w:val="24"/>
          </w:rPr>
          <w:t>eDACM</w:t>
        </w:r>
      </w:hyperlink>
      <w:r>
        <w:rPr>
          <w:rFonts w:ascii="Times New Roman" w:hAnsi="Times New Roman" w:cs="Times New Roman"/>
          <w:sz w:val="24"/>
          <w:szCs w:val="24"/>
        </w:rPr>
        <w:t xml:space="preserve"> system after individuals </w:t>
      </w:r>
      <w:r w:rsidR="00C962E2">
        <w:rPr>
          <w:rFonts w:ascii="Times New Roman" w:hAnsi="Times New Roman" w:cs="Times New Roman"/>
          <w:sz w:val="24"/>
          <w:szCs w:val="24"/>
        </w:rPr>
        <w:t>satisf</w:t>
      </w:r>
      <w:r w:rsidR="008F6F58">
        <w:rPr>
          <w:rFonts w:ascii="Times New Roman" w:hAnsi="Times New Roman" w:cs="Times New Roman"/>
          <w:sz w:val="24"/>
          <w:szCs w:val="24"/>
        </w:rPr>
        <w:t>y</w:t>
      </w:r>
      <w:r w:rsidR="00C962E2">
        <w:rPr>
          <w:rFonts w:ascii="Times New Roman" w:hAnsi="Times New Roman" w:cs="Times New Roman"/>
          <w:sz w:val="24"/>
          <w:szCs w:val="24"/>
        </w:rPr>
        <w:t xml:space="preserve"> all three standards.  </w:t>
      </w:r>
    </w:p>
    <w:p w:rsidR="00CB379B" w:rsidRDefault="00CC2BA2">
      <w:pPr>
        <w:rPr>
          <w:rFonts w:ascii="Times New Roman" w:hAnsi="Times New Roman" w:cs="Times New Roman"/>
          <w:sz w:val="24"/>
          <w:szCs w:val="24"/>
        </w:rPr>
      </w:pPr>
      <w:r>
        <w:rPr>
          <w:rFonts w:ascii="Times New Roman" w:hAnsi="Times New Roman" w:cs="Times New Roman"/>
          <w:sz w:val="24"/>
          <w:szCs w:val="24"/>
        </w:rPr>
        <w:t xml:space="preserve">Acquisition Professional Membership (APM) is an additional qualification that acquisition officers may pursue, especially if they seek joint-qualification credit to serve at the FO/GO level. </w:t>
      </w:r>
      <w:r w:rsidR="003F534F">
        <w:rPr>
          <w:rFonts w:ascii="Times New Roman" w:hAnsi="Times New Roman" w:cs="Times New Roman"/>
          <w:sz w:val="24"/>
          <w:szCs w:val="24"/>
        </w:rPr>
        <w:t xml:space="preserve"> </w:t>
      </w:r>
      <w:r w:rsidR="009D5F46">
        <w:rPr>
          <w:rFonts w:ascii="Times New Roman" w:hAnsi="Times New Roman" w:cs="Times New Roman"/>
          <w:sz w:val="24"/>
          <w:szCs w:val="24"/>
        </w:rPr>
        <w:t xml:space="preserve">Officers may request membership through </w:t>
      </w:r>
      <w:hyperlink r:id="rId9" w:history="1">
        <w:r w:rsidR="009D5F46" w:rsidRPr="00602E9F">
          <w:rPr>
            <w:rStyle w:val="Hyperlink"/>
            <w:rFonts w:ascii="Times New Roman" w:hAnsi="Times New Roman" w:cs="Times New Roman"/>
            <w:sz w:val="24"/>
            <w:szCs w:val="24"/>
          </w:rPr>
          <w:t>eDACM</w:t>
        </w:r>
      </w:hyperlink>
      <w:r w:rsidR="009D5F46">
        <w:rPr>
          <w:rFonts w:ascii="Times New Roman" w:hAnsi="Times New Roman" w:cs="Times New Roman"/>
          <w:sz w:val="24"/>
          <w:szCs w:val="24"/>
        </w:rPr>
        <w:t xml:space="preserve">.  </w:t>
      </w:r>
    </w:p>
    <w:p w:rsidR="009D5F46" w:rsidRPr="00E436A4" w:rsidRDefault="009D5F46" w:rsidP="009D5F46">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Functional Area </w:t>
      </w:r>
      <w:r w:rsidRPr="00E436A4">
        <w:rPr>
          <w:rFonts w:ascii="Times New Roman" w:hAnsi="Times New Roman" w:cs="Times New Roman"/>
          <w:b/>
          <w:sz w:val="24"/>
          <w:szCs w:val="24"/>
        </w:rPr>
        <w:t>Certification</w:t>
      </w:r>
    </w:p>
    <w:p w:rsidR="009D5F46" w:rsidRPr="0000525D" w:rsidRDefault="00602E9F" w:rsidP="009D5F46">
      <w:pPr>
        <w:rPr>
          <w:rFonts w:ascii="Times New Roman" w:hAnsi="Times New Roman" w:cs="Times New Roman"/>
          <w:sz w:val="24"/>
          <w:szCs w:val="24"/>
        </w:rPr>
      </w:pPr>
      <w:r>
        <w:rPr>
          <w:rFonts w:ascii="Times New Roman" w:hAnsi="Times New Roman" w:cs="Times New Roman"/>
          <w:sz w:val="24"/>
          <w:szCs w:val="24"/>
        </w:rPr>
        <w:t xml:space="preserve">OSD Functional Area Leads </w:t>
      </w:r>
      <w:r w:rsidR="009D5F46">
        <w:rPr>
          <w:rFonts w:ascii="Times New Roman" w:hAnsi="Times New Roman" w:cs="Times New Roman"/>
          <w:sz w:val="24"/>
          <w:szCs w:val="24"/>
        </w:rPr>
        <w:t>set DAWIA certification standards and re</w:t>
      </w:r>
      <w:r>
        <w:rPr>
          <w:rFonts w:ascii="Times New Roman" w:hAnsi="Times New Roman" w:cs="Times New Roman"/>
          <w:sz w:val="24"/>
          <w:szCs w:val="24"/>
        </w:rPr>
        <w:t xml:space="preserve">new/revise </w:t>
      </w:r>
      <w:r w:rsidR="009D5F46">
        <w:rPr>
          <w:rFonts w:ascii="Times New Roman" w:hAnsi="Times New Roman" w:cs="Times New Roman"/>
          <w:sz w:val="24"/>
          <w:szCs w:val="24"/>
        </w:rPr>
        <w:t xml:space="preserve">them annually. </w:t>
      </w:r>
      <w:r w:rsidR="009D5F46" w:rsidRPr="002C455B">
        <w:rPr>
          <w:rFonts w:ascii="Times New Roman" w:hAnsi="Times New Roman" w:cs="Times New Roman"/>
          <w:sz w:val="24"/>
          <w:szCs w:val="24"/>
        </w:rPr>
        <w:t>While Defense Acquisition University (DAU) provides workforce training</w:t>
      </w:r>
      <w:r w:rsidR="009D5F46">
        <w:rPr>
          <w:rFonts w:ascii="Times New Roman" w:hAnsi="Times New Roman" w:cs="Times New Roman"/>
          <w:sz w:val="24"/>
          <w:szCs w:val="24"/>
        </w:rPr>
        <w:t>, DAU is not authorized to grant certification</w:t>
      </w:r>
      <w:r>
        <w:rPr>
          <w:rFonts w:ascii="Times New Roman" w:hAnsi="Times New Roman" w:cs="Times New Roman"/>
          <w:sz w:val="24"/>
          <w:szCs w:val="24"/>
        </w:rPr>
        <w:t>s</w:t>
      </w:r>
      <w:r w:rsidR="009D5F46">
        <w:rPr>
          <w:rFonts w:ascii="Times New Roman" w:hAnsi="Times New Roman" w:cs="Times New Roman"/>
          <w:sz w:val="24"/>
          <w:szCs w:val="24"/>
        </w:rPr>
        <w:t>.  De</w:t>
      </w:r>
      <w:r w:rsidR="009D5F46" w:rsidRPr="002C455B">
        <w:rPr>
          <w:rFonts w:ascii="Times New Roman" w:hAnsi="Times New Roman" w:cs="Times New Roman"/>
          <w:sz w:val="24"/>
          <w:szCs w:val="24"/>
        </w:rPr>
        <w:t xml:space="preserve">signated approving authorities within each </w:t>
      </w:r>
      <w:r>
        <w:rPr>
          <w:rFonts w:ascii="Times New Roman" w:hAnsi="Times New Roman" w:cs="Times New Roman"/>
          <w:sz w:val="24"/>
          <w:szCs w:val="24"/>
        </w:rPr>
        <w:t>component</w:t>
      </w:r>
      <w:r w:rsidR="009D5F46" w:rsidRPr="002C455B">
        <w:rPr>
          <w:rFonts w:ascii="Times New Roman" w:hAnsi="Times New Roman" w:cs="Times New Roman"/>
          <w:sz w:val="24"/>
          <w:szCs w:val="24"/>
        </w:rPr>
        <w:t xml:space="preserve"> are responsible for granting DAWIA certifications.  </w:t>
      </w:r>
    </w:p>
    <w:p w:rsidR="009D5F46" w:rsidRPr="00C47C4E" w:rsidRDefault="009D5F46" w:rsidP="00C47C4E">
      <w:pPr>
        <w:pStyle w:val="ListParagraph"/>
        <w:numPr>
          <w:ilvl w:val="0"/>
          <w:numId w:val="10"/>
        </w:numPr>
        <w:rPr>
          <w:rFonts w:ascii="Times New Roman" w:hAnsi="Times New Roman" w:cs="Times New Roman"/>
          <w:sz w:val="24"/>
          <w:szCs w:val="24"/>
        </w:rPr>
      </w:pPr>
      <w:r w:rsidRPr="00C47C4E">
        <w:rPr>
          <w:rFonts w:ascii="Times New Roman" w:hAnsi="Times New Roman" w:cs="Times New Roman"/>
          <w:b/>
          <w:sz w:val="24"/>
          <w:szCs w:val="24"/>
        </w:rPr>
        <w:t>Requirement</w:t>
      </w:r>
      <w:r w:rsidRPr="00C47C4E">
        <w:rPr>
          <w:rFonts w:ascii="Times New Roman" w:hAnsi="Times New Roman" w:cs="Times New Roman"/>
          <w:sz w:val="24"/>
          <w:szCs w:val="24"/>
        </w:rPr>
        <w:t xml:space="preserve"> – Military and civilian acquisition billet assignments require certification in one functional area and specified tier within established timeframes.   </w:t>
      </w:r>
    </w:p>
    <w:p w:rsidR="00E448B3" w:rsidRDefault="00E448B3" w:rsidP="00C47C4E">
      <w:pPr>
        <w:pStyle w:val="ListParagraph"/>
        <w:numPr>
          <w:ilvl w:val="0"/>
          <w:numId w:val="10"/>
        </w:numPr>
        <w:rPr>
          <w:rFonts w:ascii="Times New Roman" w:hAnsi="Times New Roman" w:cs="Times New Roman"/>
          <w:sz w:val="24"/>
          <w:szCs w:val="24"/>
        </w:rPr>
      </w:pPr>
      <w:r w:rsidRPr="00E448B3">
        <w:rPr>
          <w:noProof/>
        </w:rPr>
        <mc:AlternateContent>
          <mc:Choice Requires="wps">
            <w:drawing>
              <wp:anchor distT="45720" distB="45720" distL="114300" distR="114300" simplePos="0" relativeHeight="251661312" behindDoc="0" locked="0" layoutInCell="1" allowOverlap="1">
                <wp:simplePos x="0" y="0"/>
                <wp:positionH relativeFrom="page">
                  <wp:posOffset>1162050</wp:posOffset>
                </wp:positionH>
                <wp:positionV relativeFrom="paragraph">
                  <wp:posOffset>685165</wp:posOffset>
                </wp:positionV>
                <wp:extent cx="5480050" cy="56515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565150"/>
                        </a:xfrm>
                        <a:prstGeom prst="rect">
                          <a:avLst/>
                        </a:prstGeom>
                        <a:solidFill>
                          <a:schemeClr val="accent1">
                            <a:lumMod val="20000"/>
                            <a:lumOff val="80000"/>
                          </a:schemeClr>
                        </a:solidFill>
                        <a:ln w="9525">
                          <a:solidFill>
                            <a:srgbClr val="000000"/>
                          </a:solidFill>
                          <a:miter lim="800000"/>
                          <a:headEnd/>
                          <a:tailEnd/>
                        </a:ln>
                      </wps:spPr>
                      <wps:txbx>
                        <w:txbxContent>
                          <w:p w:rsidR="00E448B3" w:rsidRPr="00E448B3" w:rsidRDefault="00E448B3">
                            <w:pPr>
                              <w:rPr>
                                <w:rFonts w:ascii="Times New Roman" w:hAnsi="Times New Roman" w:cs="Times New Roman"/>
                                <w:sz w:val="20"/>
                                <w:szCs w:val="20"/>
                              </w:rPr>
                            </w:pPr>
                            <w:r w:rsidRPr="00E448B3">
                              <w:rPr>
                                <w:rFonts w:ascii="Times New Roman" w:hAnsi="Times New Roman" w:cs="Times New Roman"/>
                                <w:sz w:val="20"/>
                                <w:szCs w:val="20"/>
                              </w:rPr>
                              <w:t xml:space="preserve">Acquisition experience credit from one functional area </w:t>
                            </w:r>
                            <w:r w:rsidRPr="00E448B3">
                              <w:rPr>
                                <w:rFonts w:ascii="Times New Roman" w:hAnsi="Times New Roman" w:cs="Times New Roman"/>
                                <w:i/>
                                <w:sz w:val="20"/>
                                <w:szCs w:val="20"/>
                                <w:u w:val="single"/>
                              </w:rPr>
                              <w:t>cannot</w:t>
                            </w:r>
                            <w:r w:rsidRPr="00E448B3">
                              <w:rPr>
                                <w:rFonts w:ascii="Times New Roman" w:hAnsi="Times New Roman" w:cs="Times New Roman"/>
                                <w:sz w:val="20"/>
                                <w:szCs w:val="20"/>
                              </w:rPr>
                              <w:t xml:space="preserve"> be doubled and tripled to acquire multiple certifications.  Section III provides details on experience, and FAQ #6 specifically recognizes options for PM certifications.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5pt;margin-top:53.95pt;width:431.5pt;height:44.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" fillcolor="#deeaf6 [660]">
                <v:textbox>
                  <w:txbxContent>
                    <w:p w:rsidR="00E448B3" w:rsidRPr="00E448B3" w:rsidRDefault="00E448B3">
                      <w:pPr>
                        <w:rPr>
                          <w:rFonts w:ascii="Times New Roman" w:hAnsi="Times New Roman" w:cs="Times New Roman"/>
                          <w:sz w:val="20"/>
                          <w:szCs w:val="20"/>
                        </w:rPr>
                      </w:pPr>
                      <w:r w:rsidRPr="00E448B3">
                        <w:rPr>
                          <w:rFonts w:ascii="Times New Roman" w:hAnsi="Times New Roman" w:cs="Times New Roman"/>
                          <w:sz w:val="20"/>
                          <w:szCs w:val="20"/>
                        </w:rPr>
                        <w:t xml:space="preserve">Acquisition experience credit from one functional area </w:t>
                      </w:r>
                      <w:r w:rsidRPr="00E448B3">
                        <w:rPr>
                          <w:rFonts w:ascii="Times New Roman" w:hAnsi="Times New Roman" w:cs="Times New Roman"/>
                          <w:i/>
                          <w:sz w:val="20"/>
                          <w:szCs w:val="20"/>
                          <w:u w:val="single"/>
                        </w:rPr>
                        <w:t>cannot</w:t>
                      </w:r>
                      <w:r w:rsidRPr="00E448B3">
                        <w:rPr>
                          <w:rFonts w:ascii="Times New Roman" w:hAnsi="Times New Roman" w:cs="Times New Roman"/>
                          <w:sz w:val="20"/>
                          <w:szCs w:val="20"/>
                        </w:rPr>
                        <w:t xml:space="preserve"> be doubled and tripled to acquire multiple certifications.  Section III provides details on experience, and FAQ #6 specifically recognizes options for PM certifications.</w:t>
                      </w:r>
                    </w:p>
                  </w:txbxContent>
                </v:textbox>
                <w10:wrap type="square" anchorx="page"/>
              </v:shape>
            </w:pict>
          </mc:Fallback>
        </mc:AlternateContent>
      </w:r>
      <w:r w:rsidR="009D5F46" w:rsidRPr="00C47C4E">
        <w:rPr>
          <w:rFonts w:ascii="Times New Roman" w:hAnsi="Times New Roman" w:cs="Times New Roman"/>
          <w:b/>
          <w:sz w:val="24"/>
          <w:szCs w:val="24"/>
        </w:rPr>
        <w:t>Optional</w:t>
      </w:r>
      <w:r w:rsidR="009D5F46" w:rsidRPr="00C47C4E">
        <w:rPr>
          <w:rFonts w:ascii="Times New Roman" w:hAnsi="Times New Roman" w:cs="Times New Roman"/>
          <w:sz w:val="24"/>
          <w:szCs w:val="24"/>
        </w:rPr>
        <w:t xml:space="preserve"> – Acquisition personnel may elect to pursue secondary certification.  </w:t>
      </w:r>
      <w:r w:rsidR="00BC7CCA" w:rsidRPr="00C47C4E">
        <w:rPr>
          <w:rFonts w:ascii="Times New Roman" w:hAnsi="Times New Roman" w:cs="Times New Roman"/>
          <w:sz w:val="24"/>
          <w:szCs w:val="24"/>
        </w:rPr>
        <w:t xml:space="preserve">It is important to focus on quality over quantity, and depth of acquisition knowledge and experience.  </w:t>
      </w:r>
    </w:p>
    <w:p w:rsidR="00E448B3" w:rsidRPr="00E448B3" w:rsidRDefault="00E448B3" w:rsidP="00E448B3">
      <w:pPr>
        <w:ind w:left="360"/>
        <w:rPr>
          <w:rFonts w:ascii="Times New Roman" w:hAnsi="Times New Roman" w:cs="Times New Roman"/>
          <w:sz w:val="24"/>
          <w:szCs w:val="24"/>
        </w:rPr>
      </w:pPr>
    </w:p>
    <w:p w:rsidR="009D5F46" w:rsidRPr="00E436A4" w:rsidRDefault="009D5F46" w:rsidP="009D5F46">
      <w:pPr>
        <w:pStyle w:val="ListParagraph"/>
        <w:numPr>
          <w:ilvl w:val="0"/>
          <w:numId w:val="3"/>
        </w:numPr>
        <w:rPr>
          <w:rFonts w:ascii="Times New Roman" w:hAnsi="Times New Roman" w:cs="Times New Roman"/>
          <w:b/>
          <w:sz w:val="24"/>
          <w:szCs w:val="24"/>
        </w:rPr>
      </w:pPr>
      <w:r w:rsidRPr="00E436A4">
        <w:rPr>
          <w:rFonts w:ascii="Times New Roman" w:hAnsi="Times New Roman" w:cs="Times New Roman"/>
          <w:b/>
          <w:sz w:val="24"/>
          <w:szCs w:val="24"/>
        </w:rPr>
        <w:t>Acquisition Professional Membership (APM)</w:t>
      </w:r>
    </w:p>
    <w:p w:rsidR="00C47C4E" w:rsidRDefault="009D5F46" w:rsidP="00C47C4E">
      <w:pPr>
        <w:rPr>
          <w:rFonts w:ascii="Times New Roman" w:hAnsi="Times New Roman" w:cs="Times New Roman"/>
          <w:sz w:val="24"/>
          <w:szCs w:val="24"/>
        </w:rPr>
      </w:pPr>
      <w:r w:rsidRPr="0000525D">
        <w:rPr>
          <w:rFonts w:ascii="Times New Roman" w:hAnsi="Times New Roman" w:cs="Times New Roman"/>
          <w:sz w:val="24"/>
          <w:szCs w:val="24"/>
        </w:rPr>
        <w:t xml:space="preserve">The FY20 NDAA Subtitle F eliminated the Defense Acquisition Corps.  </w:t>
      </w:r>
      <w:r>
        <w:rPr>
          <w:rFonts w:ascii="Times New Roman" w:hAnsi="Times New Roman" w:cs="Times New Roman"/>
          <w:sz w:val="24"/>
          <w:szCs w:val="24"/>
        </w:rPr>
        <w:t>Realizing h</w:t>
      </w:r>
      <w:r w:rsidRPr="0000525D">
        <w:rPr>
          <w:rFonts w:ascii="Times New Roman" w:hAnsi="Times New Roman" w:cs="Times New Roman"/>
          <w:sz w:val="24"/>
          <w:szCs w:val="24"/>
        </w:rPr>
        <w:t xml:space="preserve">ow important this credential is to officer careers, the </w:t>
      </w:r>
      <w:r>
        <w:rPr>
          <w:rFonts w:ascii="Times New Roman" w:hAnsi="Times New Roman" w:cs="Times New Roman"/>
          <w:sz w:val="24"/>
          <w:szCs w:val="24"/>
        </w:rPr>
        <w:t xml:space="preserve">DON </w:t>
      </w:r>
      <w:r w:rsidR="00B45FFC">
        <w:rPr>
          <w:rFonts w:ascii="Times New Roman" w:hAnsi="Times New Roman" w:cs="Times New Roman"/>
          <w:sz w:val="24"/>
          <w:szCs w:val="24"/>
        </w:rPr>
        <w:t xml:space="preserve">continues to offer </w:t>
      </w:r>
      <w:r w:rsidRPr="0000525D">
        <w:rPr>
          <w:rFonts w:ascii="Times New Roman" w:hAnsi="Times New Roman" w:cs="Times New Roman"/>
          <w:sz w:val="24"/>
          <w:szCs w:val="24"/>
        </w:rPr>
        <w:t xml:space="preserve">APM.  </w:t>
      </w:r>
      <w:r w:rsidR="00C47C4E">
        <w:rPr>
          <w:rFonts w:ascii="Times New Roman" w:hAnsi="Times New Roman" w:cs="Times New Roman"/>
          <w:sz w:val="24"/>
          <w:szCs w:val="24"/>
        </w:rPr>
        <w:t xml:space="preserve">Applicants must meet all </w:t>
      </w:r>
      <w:r>
        <w:rPr>
          <w:rFonts w:ascii="Times New Roman" w:hAnsi="Times New Roman" w:cs="Times New Roman"/>
          <w:sz w:val="24"/>
          <w:szCs w:val="24"/>
        </w:rPr>
        <w:t>eligibility standards</w:t>
      </w:r>
      <w:r w:rsidR="00C47C4E">
        <w:rPr>
          <w:rFonts w:ascii="Times New Roman" w:hAnsi="Times New Roman" w:cs="Times New Roman"/>
          <w:sz w:val="24"/>
          <w:szCs w:val="24"/>
        </w:rPr>
        <w:t xml:space="preserve"> at the time of application</w:t>
      </w:r>
      <w:r>
        <w:rPr>
          <w:rFonts w:ascii="Times New Roman" w:hAnsi="Times New Roman" w:cs="Times New Roman"/>
          <w:sz w:val="24"/>
          <w:szCs w:val="24"/>
        </w:rPr>
        <w:t xml:space="preserve">: </w:t>
      </w:r>
    </w:p>
    <w:p w:rsidR="00C47C4E" w:rsidRPr="00C47C4E" w:rsidRDefault="009D5F46" w:rsidP="00C47C4E">
      <w:pPr>
        <w:pStyle w:val="ListParagraph"/>
        <w:numPr>
          <w:ilvl w:val="0"/>
          <w:numId w:val="9"/>
        </w:numPr>
        <w:rPr>
          <w:rFonts w:ascii="Times New Roman" w:hAnsi="Times New Roman" w:cs="Times New Roman"/>
          <w:sz w:val="24"/>
          <w:szCs w:val="24"/>
        </w:rPr>
      </w:pPr>
      <w:r w:rsidRPr="00C47C4E">
        <w:rPr>
          <w:rFonts w:ascii="Times New Roman" w:hAnsi="Times New Roman" w:cs="Times New Roman"/>
          <w:sz w:val="24"/>
          <w:szCs w:val="24"/>
        </w:rPr>
        <w:t xml:space="preserve">Rank:  O-4 </w:t>
      </w:r>
      <w:r w:rsidR="00C47C4E">
        <w:rPr>
          <w:rFonts w:ascii="Times New Roman" w:hAnsi="Times New Roman" w:cs="Times New Roman"/>
          <w:sz w:val="24"/>
          <w:szCs w:val="24"/>
        </w:rPr>
        <w:t xml:space="preserve">&amp; </w:t>
      </w:r>
      <w:r w:rsidRPr="00C47C4E">
        <w:rPr>
          <w:rFonts w:ascii="Times New Roman" w:hAnsi="Times New Roman" w:cs="Times New Roman"/>
          <w:sz w:val="24"/>
          <w:szCs w:val="24"/>
        </w:rPr>
        <w:t>above</w:t>
      </w:r>
    </w:p>
    <w:p w:rsidR="009D5F46" w:rsidRPr="00C47C4E" w:rsidRDefault="009D5F46" w:rsidP="00C47C4E">
      <w:pPr>
        <w:pStyle w:val="ListParagraph"/>
        <w:numPr>
          <w:ilvl w:val="0"/>
          <w:numId w:val="9"/>
        </w:numPr>
        <w:rPr>
          <w:rFonts w:ascii="Times New Roman" w:hAnsi="Times New Roman" w:cs="Times New Roman"/>
          <w:sz w:val="24"/>
          <w:szCs w:val="24"/>
        </w:rPr>
      </w:pPr>
      <w:r w:rsidRPr="00C47C4E">
        <w:rPr>
          <w:rFonts w:ascii="Times New Roman" w:hAnsi="Times New Roman" w:cs="Times New Roman"/>
          <w:sz w:val="24"/>
          <w:szCs w:val="24"/>
        </w:rPr>
        <w:t xml:space="preserve">Certification:  </w:t>
      </w:r>
      <w:r w:rsidR="00C47C4E">
        <w:rPr>
          <w:rFonts w:ascii="Times New Roman" w:hAnsi="Times New Roman" w:cs="Times New Roman"/>
          <w:sz w:val="24"/>
          <w:szCs w:val="24"/>
        </w:rPr>
        <w:t>C</w:t>
      </w:r>
      <w:r w:rsidRPr="00C47C4E">
        <w:rPr>
          <w:rFonts w:ascii="Times New Roman" w:hAnsi="Times New Roman" w:cs="Times New Roman"/>
          <w:sz w:val="24"/>
          <w:szCs w:val="24"/>
        </w:rPr>
        <w:t xml:space="preserve">ertification in any acquisition functional area </w:t>
      </w:r>
    </w:p>
    <w:p w:rsidR="009D5F46" w:rsidRPr="00C47C4E" w:rsidRDefault="009D5F46" w:rsidP="00C47C4E">
      <w:pPr>
        <w:pStyle w:val="ListParagraph"/>
        <w:numPr>
          <w:ilvl w:val="0"/>
          <w:numId w:val="9"/>
        </w:numPr>
        <w:rPr>
          <w:rFonts w:ascii="Times New Roman" w:hAnsi="Times New Roman" w:cs="Times New Roman"/>
          <w:sz w:val="24"/>
          <w:szCs w:val="24"/>
        </w:rPr>
      </w:pPr>
      <w:r w:rsidRPr="00C47C4E">
        <w:rPr>
          <w:rFonts w:ascii="Times New Roman" w:hAnsi="Times New Roman" w:cs="Times New Roman"/>
          <w:sz w:val="24"/>
          <w:szCs w:val="24"/>
        </w:rPr>
        <w:lastRenderedPageBreak/>
        <w:t xml:space="preserve">Education:  Baccalaureate </w:t>
      </w:r>
      <w:r w:rsidR="00B45FFC" w:rsidRPr="00C47C4E">
        <w:rPr>
          <w:rFonts w:ascii="Times New Roman" w:hAnsi="Times New Roman" w:cs="Times New Roman"/>
          <w:sz w:val="24"/>
          <w:szCs w:val="24"/>
        </w:rPr>
        <w:t xml:space="preserve">or graduate </w:t>
      </w:r>
      <w:r w:rsidRPr="00C47C4E">
        <w:rPr>
          <w:rFonts w:ascii="Times New Roman" w:hAnsi="Times New Roman" w:cs="Times New Roman"/>
          <w:sz w:val="24"/>
          <w:szCs w:val="24"/>
        </w:rPr>
        <w:t>degree from an accredited educational institution, with at least 12 credits in the following disciplines:  acco</w:t>
      </w:r>
      <w:r w:rsidR="00E448B3">
        <w:rPr>
          <w:rFonts w:ascii="Times New Roman" w:hAnsi="Times New Roman" w:cs="Times New Roman"/>
          <w:sz w:val="24"/>
          <w:szCs w:val="24"/>
        </w:rPr>
        <w:t xml:space="preserve">unting, business, finance, law, </w:t>
      </w:r>
      <w:r w:rsidRPr="00C47C4E">
        <w:rPr>
          <w:rFonts w:ascii="Times New Roman" w:hAnsi="Times New Roman" w:cs="Times New Roman"/>
          <w:sz w:val="24"/>
          <w:szCs w:val="24"/>
        </w:rPr>
        <w:t>contracts, purchasing, economics, industrial management, marketing, quantitative methods, leadership</w:t>
      </w:r>
      <w:r w:rsidR="00B45FFC" w:rsidRPr="00C47C4E">
        <w:rPr>
          <w:rFonts w:ascii="Times New Roman" w:hAnsi="Times New Roman" w:cs="Times New Roman"/>
          <w:sz w:val="24"/>
          <w:szCs w:val="24"/>
        </w:rPr>
        <w:t>, and organizational management</w:t>
      </w:r>
    </w:p>
    <w:p w:rsidR="009D5F46" w:rsidRPr="00C47C4E" w:rsidRDefault="00B45FFC" w:rsidP="00C47C4E">
      <w:pPr>
        <w:pStyle w:val="ListParagraph"/>
        <w:numPr>
          <w:ilvl w:val="0"/>
          <w:numId w:val="9"/>
        </w:numPr>
        <w:rPr>
          <w:rFonts w:ascii="Times New Roman" w:hAnsi="Times New Roman" w:cs="Times New Roman"/>
          <w:sz w:val="24"/>
          <w:szCs w:val="24"/>
        </w:rPr>
      </w:pPr>
      <w:r w:rsidRPr="00B45FFC">
        <w:rPr>
          <w:noProof/>
          <w:sz w:val="20"/>
          <w:szCs w:val="2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345440</wp:posOffset>
                </wp:positionV>
                <wp:extent cx="5353050" cy="1485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85900"/>
                        </a:xfrm>
                        <a:prstGeom prst="rect">
                          <a:avLst/>
                        </a:prstGeom>
                        <a:solidFill>
                          <a:schemeClr val="accent1">
                            <a:lumMod val="20000"/>
                            <a:lumOff val="80000"/>
                          </a:schemeClr>
                        </a:solidFill>
                        <a:ln w="9525">
                          <a:solidFill>
                            <a:srgbClr val="000000"/>
                          </a:solidFill>
                          <a:miter lim="800000"/>
                          <a:headEnd/>
                          <a:tailEnd/>
                        </a:ln>
                      </wps:spPr>
                      <wps:txbx>
                        <w:txbxContent>
                          <w:p w:rsidR="00B45FFC" w:rsidRPr="00B45FFC" w:rsidRDefault="00B45FFC" w:rsidP="00B45FFC">
                            <w:pPr>
                              <w:rPr>
                                <w:rFonts w:ascii="Times New Roman" w:hAnsi="Times New Roman" w:cs="Times New Roman"/>
                                <w:sz w:val="20"/>
                                <w:szCs w:val="20"/>
                              </w:rPr>
                            </w:pPr>
                            <w:r>
                              <w:rPr>
                                <w:rFonts w:ascii="Times New Roman" w:hAnsi="Times New Roman" w:cs="Times New Roman"/>
                                <w:sz w:val="20"/>
                                <w:szCs w:val="20"/>
                              </w:rPr>
                              <w:t>*</w:t>
                            </w:r>
                            <w:r w:rsidRPr="00B45FFC">
                              <w:rPr>
                                <w:rFonts w:ascii="Times New Roman" w:hAnsi="Times New Roman" w:cs="Times New Roman"/>
                                <w:sz w:val="20"/>
                                <w:szCs w:val="20"/>
                              </w:rPr>
                              <w:t xml:space="preserve">Up to 12 months of acquisition experience may be credited for completion of graduate level studies at DoD-affiliated schools or other accredited academic institutions.  Education resulting in the award of sub-specialty code 5100P may be credited for a maximum of 18 months.  Education resulting in award of sub-specialty code 5100N may be credited for a maximum of 24 months.  One education substitution for experience is permitted. </w:t>
                            </w:r>
                          </w:p>
                          <w:p w:rsidR="00B45FFC" w:rsidRPr="00B45FFC" w:rsidRDefault="00B45FFC" w:rsidP="00B45FFC">
                            <w:pPr>
                              <w:rPr>
                                <w:rFonts w:ascii="Times New Roman" w:hAnsi="Times New Roman" w:cs="Times New Roman"/>
                                <w:sz w:val="20"/>
                                <w:szCs w:val="20"/>
                              </w:rPr>
                            </w:pPr>
                            <w:r>
                              <w:rPr>
                                <w:rFonts w:ascii="Times New Roman" w:hAnsi="Times New Roman" w:cs="Times New Roman"/>
                                <w:sz w:val="20"/>
                                <w:szCs w:val="20"/>
                              </w:rPr>
                              <w:t>**</w:t>
                            </w:r>
                            <w:r w:rsidRPr="00B45FFC">
                              <w:rPr>
                                <w:rFonts w:ascii="Times New Roman" w:hAnsi="Times New Roman" w:cs="Times New Roman"/>
                                <w:sz w:val="20"/>
                                <w:szCs w:val="20"/>
                              </w:rPr>
                              <w:t>Officers may count time spent in an O-5 or O-6 command tour (CO time only) when responsibilities demonstrate program management competencies such as planning, execution, business acumen, resource management, and interface with material establishment(s).</w:t>
                            </w:r>
                          </w:p>
                          <w:p w:rsidR="00B45FFC" w:rsidRDefault="00B45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7.2pt;width:421.5pt;height:117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" fillcolor="#deeaf6 [660]">
                <v:textbox>
                  <w:txbxContent>
                    <w:p w:rsidR="00B45FFC" w:rsidRPr="00B45FFC" w:rsidRDefault="00B45FFC" w:rsidP="00B45FFC">
                      <w:pPr>
                        <w:rPr>
                          <w:rFonts w:ascii="Times New Roman" w:hAnsi="Times New Roman" w:cs="Times New Roman"/>
                          <w:sz w:val="20"/>
                          <w:szCs w:val="20"/>
                        </w:rPr>
                      </w:pPr>
                      <w:r>
                        <w:rPr>
                          <w:rFonts w:ascii="Times New Roman" w:hAnsi="Times New Roman" w:cs="Times New Roman"/>
                          <w:sz w:val="20"/>
                          <w:szCs w:val="20"/>
                        </w:rPr>
                        <w:t>*</w:t>
                      </w:r>
                      <w:r w:rsidRPr="00B45FFC">
                        <w:rPr>
                          <w:rFonts w:ascii="Times New Roman" w:hAnsi="Times New Roman" w:cs="Times New Roman"/>
                          <w:sz w:val="20"/>
                          <w:szCs w:val="20"/>
                        </w:rPr>
                        <w:t xml:space="preserve">Up to 12 months of acquisition experience may be credited for completion of graduate level studies at DoD-affiliated schools or other accredited academic institutions.  Education resulting in the award of sub-specialty code 5100P may be credited for a maximum of 18 months.  Education resulting in award of sub-specialty code 5100N may be credited for a maximum of 24 months.  One education substitution for experience is permitted. </w:t>
                      </w:r>
                    </w:p>
                    <w:p w:rsidR="00B45FFC" w:rsidRPr="00B45FFC" w:rsidRDefault="00B45FFC" w:rsidP="00B45FFC">
                      <w:pPr>
                        <w:rPr>
                          <w:rFonts w:ascii="Times New Roman" w:hAnsi="Times New Roman" w:cs="Times New Roman"/>
                          <w:sz w:val="20"/>
                          <w:szCs w:val="20"/>
                        </w:rPr>
                      </w:pPr>
                      <w:r>
                        <w:rPr>
                          <w:rFonts w:ascii="Times New Roman" w:hAnsi="Times New Roman" w:cs="Times New Roman"/>
                          <w:sz w:val="20"/>
                          <w:szCs w:val="20"/>
                        </w:rPr>
                        <w:t>**</w:t>
                      </w:r>
                      <w:r w:rsidRPr="00B45FFC">
                        <w:rPr>
                          <w:rFonts w:ascii="Times New Roman" w:hAnsi="Times New Roman" w:cs="Times New Roman"/>
                          <w:sz w:val="20"/>
                          <w:szCs w:val="20"/>
                        </w:rPr>
                        <w:t>Officers may count time spent in an O-5 or O-6 command tour (CO time only) when responsibilities demonstrate program management competencies such as planning, execution, business acumen, resource management, and interface with material establishment(s).</w:t>
                      </w:r>
                    </w:p>
                    <w:p w:rsidR="00B45FFC" w:rsidRDefault="00B45FFC"/>
                  </w:txbxContent>
                </v:textbox>
                <w10:wrap type="square" anchorx="margin"/>
              </v:shape>
            </w:pict>
          </mc:Fallback>
        </mc:AlternateContent>
      </w:r>
      <w:r w:rsidR="009D5F46" w:rsidRPr="00C47C4E">
        <w:rPr>
          <w:rFonts w:ascii="Times New Roman" w:hAnsi="Times New Roman" w:cs="Times New Roman"/>
          <w:sz w:val="24"/>
          <w:szCs w:val="24"/>
        </w:rPr>
        <w:t>Experience</w:t>
      </w:r>
      <w:r w:rsidRPr="00C47C4E">
        <w:rPr>
          <w:rFonts w:ascii="Times New Roman" w:hAnsi="Times New Roman" w:cs="Times New Roman"/>
          <w:sz w:val="24"/>
          <w:szCs w:val="24"/>
        </w:rPr>
        <w:t xml:space="preserve">: </w:t>
      </w:r>
      <w:r w:rsidR="009D5F46" w:rsidRPr="00C47C4E">
        <w:rPr>
          <w:rFonts w:ascii="Times New Roman" w:hAnsi="Times New Roman" w:cs="Times New Roman"/>
          <w:sz w:val="24"/>
          <w:szCs w:val="24"/>
        </w:rPr>
        <w:t xml:space="preserve">48 months of </w:t>
      </w:r>
      <w:r w:rsidRPr="00C47C4E">
        <w:rPr>
          <w:rFonts w:ascii="Times New Roman" w:hAnsi="Times New Roman" w:cs="Times New Roman"/>
          <w:sz w:val="24"/>
          <w:szCs w:val="24"/>
        </w:rPr>
        <w:t xml:space="preserve">documented </w:t>
      </w:r>
      <w:r w:rsidR="009D5F46" w:rsidRPr="00C47C4E">
        <w:rPr>
          <w:rFonts w:ascii="Times New Roman" w:hAnsi="Times New Roman" w:cs="Times New Roman"/>
          <w:sz w:val="24"/>
          <w:szCs w:val="24"/>
        </w:rPr>
        <w:t>acquisition experience</w:t>
      </w:r>
    </w:p>
    <w:p w:rsidR="00B45FFC" w:rsidRDefault="00B45FFC">
      <w:pPr>
        <w:rPr>
          <w:rFonts w:ascii="Times New Roman" w:hAnsi="Times New Roman" w:cs="Times New Roman"/>
          <w:sz w:val="20"/>
          <w:szCs w:val="20"/>
        </w:rPr>
      </w:pPr>
    </w:p>
    <w:p w:rsidR="00CB379B" w:rsidRPr="00BC7CCA" w:rsidRDefault="009D5F46" w:rsidP="00E436A4">
      <w:pPr>
        <w:pStyle w:val="ListParagraph"/>
        <w:numPr>
          <w:ilvl w:val="0"/>
          <w:numId w:val="3"/>
        </w:numPr>
        <w:rPr>
          <w:rFonts w:ascii="Times New Roman" w:hAnsi="Times New Roman" w:cs="Times New Roman"/>
          <w:b/>
          <w:sz w:val="24"/>
          <w:szCs w:val="24"/>
        </w:rPr>
      </w:pPr>
      <w:r w:rsidRPr="00BC7CCA">
        <w:rPr>
          <w:rFonts w:ascii="Times New Roman" w:hAnsi="Times New Roman" w:cs="Times New Roman"/>
          <w:b/>
          <w:sz w:val="24"/>
          <w:szCs w:val="24"/>
        </w:rPr>
        <w:t xml:space="preserve">Meeting </w:t>
      </w:r>
      <w:r w:rsidR="00CB379B" w:rsidRPr="00BC7CCA">
        <w:rPr>
          <w:rFonts w:ascii="Times New Roman" w:hAnsi="Times New Roman" w:cs="Times New Roman"/>
          <w:b/>
          <w:sz w:val="24"/>
          <w:szCs w:val="24"/>
        </w:rPr>
        <w:t>Acquisition Experience</w:t>
      </w:r>
      <w:r w:rsidRPr="00BC7CCA">
        <w:rPr>
          <w:rFonts w:ascii="Times New Roman" w:hAnsi="Times New Roman" w:cs="Times New Roman"/>
          <w:b/>
          <w:sz w:val="24"/>
          <w:szCs w:val="24"/>
        </w:rPr>
        <w:t xml:space="preserve"> Standards</w:t>
      </w:r>
    </w:p>
    <w:p w:rsidR="008F6F58" w:rsidRDefault="00B01035" w:rsidP="008F6F58">
      <w:pPr>
        <w:rPr>
          <w:rFonts w:ascii="Times New Roman" w:hAnsi="Times New Roman" w:cs="Times New Roman"/>
          <w:sz w:val="24"/>
          <w:szCs w:val="24"/>
        </w:rPr>
      </w:pPr>
      <w:r>
        <w:rPr>
          <w:rFonts w:ascii="Times New Roman" w:hAnsi="Times New Roman" w:cs="Times New Roman"/>
          <w:sz w:val="24"/>
          <w:szCs w:val="24"/>
        </w:rPr>
        <w:t>C</w:t>
      </w:r>
      <w:r w:rsidR="0088523A">
        <w:rPr>
          <w:rFonts w:ascii="Times New Roman" w:hAnsi="Times New Roman" w:cs="Times New Roman"/>
          <w:sz w:val="24"/>
          <w:szCs w:val="24"/>
        </w:rPr>
        <w:t xml:space="preserve">ore acquisition experience is </w:t>
      </w:r>
      <w:r w:rsidR="00BC7CCA">
        <w:rPr>
          <w:rFonts w:ascii="Times New Roman" w:hAnsi="Times New Roman" w:cs="Times New Roman"/>
          <w:sz w:val="24"/>
          <w:szCs w:val="24"/>
        </w:rPr>
        <w:t xml:space="preserve">acquired by serving </w:t>
      </w:r>
      <w:r w:rsidR="0088523A">
        <w:rPr>
          <w:rFonts w:ascii="Times New Roman" w:hAnsi="Times New Roman" w:cs="Times New Roman"/>
          <w:sz w:val="24"/>
          <w:szCs w:val="24"/>
        </w:rPr>
        <w:t xml:space="preserve">in </w:t>
      </w:r>
      <w:r>
        <w:rPr>
          <w:rFonts w:ascii="Times New Roman" w:hAnsi="Times New Roman" w:cs="Times New Roman"/>
          <w:sz w:val="24"/>
          <w:szCs w:val="24"/>
        </w:rPr>
        <w:t xml:space="preserve">designated acquisition billets located in </w:t>
      </w:r>
      <w:r w:rsidR="006E13D0" w:rsidRPr="006751A1">
        <w:rPr>
          <w:rFonts w:ascii="Times New Roman" w:hAnsi="Times New Roman" w:cs="Times New Roman"/>
          <w:sz w:val="24"/>
          <w:szCs w:val="24"/>
        </w:rPr>
        <w:t>Program Offices, PEOs, SYSCOMs, Developmental Test Commands, Warfare Centers, Contracting Field Activities, or Supervisor of Ship Building</w:t>
      </w:r>
      <w:r w:rsidR="006E13D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726C1" w:rsidRPr="00965484" w:rsidRDefault="008726C1" w:rsidP="008F6F58">
      <w:pPr>
        <w:rPr>
          <w:rFonts w:ascii="Times New Roman" w:hAnsi="Times New Roman" w:cs="Times New Roman"/>
          <w:sz w:val="24"/>
          <w:szCs w:val="24"/>
        </w:rPr>
      </w:pPr>
      <w:r w:rsidRPr="00965484">
        <w:rPr>
          <w:rFonts w:ascii="Times New Roman" w:hAnsi="Times New Roman" w:cs="Times New Roman"/>
          <w:sz w:val="24"/>
          <w:szCs w:val="24"/>
        </w:rPr>
        <w:t xml:space="preserve">Acquisition experience time is auto-credited in eDACM </w:t>
      </w:r>
      <w:r w:rsidRPr="00965484">
        <w:rPr>
          <w:rFonts w:ascii="Times New Roman" w:hAnsi="Times New Roman" w:cs="Times New Roman"/>
          <w:sz w:val="24"/>
          <w:szCs w:val="24"/>
          <w:u w:val="single"/>
        </w:rPr>
        <w:t>only</w:t>
      </w:r>
      <w:r w:rsidRPr="00965484">
        <w:rPr>
          <w:rFonts w:ascii="Times New Roman" w:hAnsi="Times New Roman" w:cs="Times New Roman"/>
          <w:sz w:val="24"/>
          <w:szCs w:val="24"/>
        </w:rPr>
        <w:t xml:space="preserve"> when official personnel records indicate a billet is acquisition-designated.  It typically takes 30-45 days for an acquisition billet assignment to flow into eDACM, and the system refreshes experience each month during the acquisition tour.  </w:t>
      </w:r>
    </w:p>
    <w:p w:rsidR="008726C1" w:rsidRPr="00965484" w:rsidRDefault="008726C1" w:rsidP="00965484">
      <w:pPr>
        <w:pStyle w:val="ListParagraph"/>
        <w:numPr>
          <w:ilvl w:val="0"/>
          <w:numId w:val="13"/>
        </w:numPr>
        <w:rPr>
          <w:rFonts w:ascii="Times New Roman" w:hAnsi="Times New Roman" w:cs="Times New Roman"/>
          <w:sz w:val="24"/>
          <w:szCs w:val="24"/>
        </w:rPr>
      </w:pPr>
      <w:r w:rsidRPr="00965484">
        <w:rPr>
          <w:rFonts w:ascii="Times New Roman" w:hAnsi="Times New Roman" w:cs="Times New Roman"/>
          <w:sz w:val="24"/>
          <w:szCs w:val="24"/>
        </w:rPr>
        <w:t>Experience is credited at 100% for the acquisition AQD assigned</w:t>
      </w:r>
      <w:r w:rsidR="00BC7CCA">
        <w:rPr>
          <w:rFonts w:ascii="Times New Roman" w:hAnsi="Times New Roman" w:cs="Times New Roman"/>
          <w:sz w:val="24"/>
          <w:szCs w:val="24"/>
        </w:rPr>
        <w:t xml:space="preserve"> to the billet,</w:t>
      </w:r>
      <w:r w:rsidRPr="00965484">
        <w:rPr>
          <w:rFonts w:ascii="Times New Roman" w:hAnsi="Times New Roman" w:cs="Times New Roman"/>
          <w:sz w:val="24"/>
          <w:szCs w:val="24"/>
        </w:rPr>
        <w:t xml:space="preserve"> (e.g. AAN </w:t>
      </w:r>
      <w:r w:rsidR="00BC7CCA">
        <w:rPr>
          <w:rFonts w:ascii="Times New Roman" w:hAnsi="Times New Roman" w:cs="Times New Roman"/>
          <w:sz w:val="24"/>
          <w:szCs w:val="24"/>
        </w:rPr>
        <w:t>= PM</w:t>
      </w:r>
      <w:r w:rsidRPr="00965484">
        <w:rPr>
          <w:rFonts w:ascii="Times New Roman" w:hAnsi="Times New Roman" w:cs="Times New Roman"/>
          <w:sz w:val="24"/>
          <w:szCs w:val="24"/>
        </w:rPr>
        <w:t xml:space="preserve"> experience). </w:t>
      </w:r>
    </w:p>
    <w:p w:rsidR="008726C1" w:rsidRPr="00965484" w:rsidRDefault="008726C1" w:rsidP="00965484">
      <w:pPr>
        <w:pStyle w:val="ListParagraph"/>
        <w:numPr>
          <w:ilvl w:val="0"/>
          <w:numId w:val="13"/>
        </w:numPr>
        <w:rPr>
          <w:rFonts w:ascii="Times New Roman" w:hAnsi="Times New Roman" w:cs="Times New Roman"/>
          <w:sz w:val="24"/>
          <w:szCs w:val="24"/>
        </w:rPr>
      </w:pPr>
      <w:r w:rsidRPr="00965484">
        <w:rPr>
          <w:rFonts w:ascii="Times New Roman" w:hAnsi="Times New Roman" w:cs="Times New Roman"/>
          <w:sz w:val="24"/>
          <w:szCs w:val="24"/>
        </w:rPr>
        <w:t xml:space="preserve">Once an acquisition tour ends, billet assignment data is no longer provided to eDACM each month and experience </w:t>
      </w:r>
      <w:r w:rsidR="00BC7CCA">
        <w:rPr>
          <w:rFonts w:ascii="Times New Roman" w:hAnsi="Times New Roman" w:cs="Times New Roman"/>
          <w:sz w:val="24"/>
          <w:szCs w:val="24"/>
        </w:rPr>
        <w:t xml:space="preserve">gained </w:t>
      </w:r>
      <w:r w:rsidRPr="00965484">
        <w:rPr>
          <w:rFonts w:ascii="Times New Roman" w:hAnsi="Times New Roman" w:cs="Times New Roman"/>
          <w:i/>
          <w:sz w:val="24"/>
          <w:szCs w:val="24"/>
        </w:rPr>
        <w:t>outside</w:t>
      </w:r>
      <w:r w:rsidRPr="00965484">
        <w:rPr>
          <w:rFonts w:ascii="Times New Roman" w:hAnsi="Times New Roman" w:cs="Times New Roman"/>
          <w:sz w:val="24"/>
          <w:szCs w:val="24"/>
        </w:rPr>
        <w:t xml:space="preserve"> of an acquisition tour is </w:t>
      </w:r>
      <w:r w:rsidRPr="00965484">
        <w:rPr>
          <w:rFonts w:ascii="Times New Roman" w:hAnsi="Times New Roman" w:cs="Times New Roman"/>
          <w:i/>
          <w:sz w:val="24"/>
          <w:szCs w:val="24"/>
        </w:rPr>
        <w:t>no longer maintained by eDACM</w:t>
      </w:r>
      <w:r w:rsidRPr="00965484">
        <w:rPr>
          <w:rFonts w:ascii="Times New Roman" w:hAnsi="Times New Roman" w:cs="Times New Roman"/>
          <w:sz w:val="24"/>
          <w:szCs w:val="24"/>
        </w:rPr>
        <w:t>.</w:t>
      </w:r>
    </w:p>
    <w:p w:rsidR="00616A09" w:rsidRDefault="008726C1" w:rsidP="00A231A7">
      <w:pPr>
        <w:rPr>
          <w:rFonts w:ascii="Times New Roman" w:hAnsi="Times New Roman" w:cs="Times New Roman"/>
          <w:sz w:val="24"/>
          <w:szCs w:val="24"/>
        </w:rPr>
      </w:pPr>
      <w:r>
        <w:rPr>
          <w:rFonts w:ascii="Times New Roman" w:hAnsi="Times New Roman" w:cs="Times New Roman"/>
          <w:sz w:val="24"/>
          <w:szCs w:val="24"/>
        </w:rPr>
        <w:t>D</w:t>
      </w:r>
      <w:r w:rsidRPr="008726C1">
        <w:rPr>
          <w:rFonts w:ascii="Times New Roman" w:hAnsi="Times New Roman" w:cs="Times New Roman"/>
          <w:sz w:val="24"/>
          <w:szCs w:val="24"/>
        </w:rPr>
        <w:t xml:space="preserve">ual experience credit may be granted </w:t>
      </w:r>
      <w:r w:rsidRPr="008726C1">
        <w:rPr>
          <w:rFonts w:ascii="Times New Roman" w:hAnsi="Times New Roman" w:cs="Times New Roman"/>
          <w:i/>
          <w:iCs/>
          <w:sz w:val="24"/>
          <w:szCs w:val="24"/>
          <w:u w:val="single"/>
        </w:rPr>
        <w:t>only</w:t>
      </w:r>
      <w:r>
        <w:rPr>
          <w:rFonts w:ascii="Times New Roman" w:hAnsi="Times New Roman" w:cs="Times New Roman"/>
          <w:sz w:val="24"/>
          <w:szCs w:val="24"/>
        </w:rPr>
        <w:t xml:space="preserve"> when the currently published DAWIA certification standards specifically state that certification in one functional area counts toward another.  Certification standards are periodically updated</w:t>
      </w:r>
      <w:r w:rsidR="00BC7CCA">
        <w:rPr>
          <w:rFonts w:ascii="Times New Roman" w:hAnsi="Times New Roman" w:cs="Times New Roman"/>
          <w:sz w:val="24"/>
          <w:szCs w:val="24"/>
        </w:rPr>
        <w:t>, and of</w:t>
      </w:r>
      <w:r w:rsidRPr="008726C1">
        <w:rPr>
          <w:rFonts w:ascii="Times New Roman" w:hAnsi="Times New Roman" w:cs="Times New Roman"/>
          <w:sz w:val="24"/>
          <w:szCs w:val="24"/>
        </w:rPr>
        <w:t xml:space="preserve">ficers </w:t>
      </w:r>
      <w:r w:rsidR="00616A09">
        <w:rPr>
          <w:rFonts w:ascii="Times New Roman" w:hAnsi="Times New Roman" w:cs="Times New Roman"/>
          <w:sz w:val="24"/>
          <w:szCs w:val="24"/>
        </w:rPr>
        <w:t xml:space="preserve">are highly encouraged to review </w:t>
      </w:r>
      <w:r w:rsidRPr="008726C1">
        <w:rPr>
          <w:rFonts w:ascii="Times New Roman" w:hAnsi="Times New Roman" w:cs="Times New Roman"/>
          <w:sz w:val="24"/>
          <w:szCs w:val="24"/>
        </w:rPr>
        <w:t xml:space="preserve">the current DAWIA </w:t>
      </w:r>
      <w:hyperlink r:id="rId10" w:history="1">
        <w:r w:rsidRPr="00965484">
          <w:rPr>
            <w:rStyle w:val="Hyperlink"/>
            <w:rFonts w:ascii="Times New Roman" w:hAnsi="Times New Roman" w:cs="Times New Roman"/>
            <w:sz w:val="24"/>
            <w:szCs w:val="24"/>
          </w:rPr>
          <w:t>certification standards</w:t>
        </w:r>
      </w:hyperlink>
      <w:r>
        <w:rPr>
          <w:rFonts w:ascii="Times New Roman" w:hAnsi="Times New Roman" w:cs="Times New Roman"/>
          <w:sz w:val="24"/>
          <w:szCs w:val="24"/>
        </w:rPr>
        <w:t xml:space="preserve"> before attempting to request certification</w:t>
      </w:r>
      <w:r w:rsidR="00965484">
        <w:rPr>
          <w:rFonts w:ascii="Times New Roman" w:hAnsi="Times New Roman" w:cs="Times New Roman"/>
          <w:sz w:val="24"/>
          <w:szCs w:val="24"/>
        </w:rPr>
        <w:t>.</w:t>
      </w:r>
    </w:p>
    <w:p w:rsidR="00616A09" w:rsidRDefault="00616A09" w:rsidP="00616A09">
      <w:pPr>
        <w:rPr>
          <w:rFonts w:ascii="Times New Roman" w:hAnsi="Times New Roman" w:cs="Times New Roman"/>
          <w:sz w:val="24"/>
          <w:szCs w:val="24"/>
        </w:rPr>
      </w:pPr>
      <w:r>
        <w:rPr>
          <w:rFonts w:ascii="Times New Roman" w:hAnsi="Times New Roman" w:cs="Times New Roman"/>
          <w:sz w:val="24"/>
          <w:szCs w:val="24"/>
        </w:rPr>
        <w:t xml:space="preserve">Officers in acquisition career tracks interested in requesting credit for non-coded time should read this Guide and engage their OCM.  </w:t>
      </w:r>
      <w:r w:rsidR="00965484">
        <w:rPr>
          <w:rFonts w:ascii="Times New Roman" w:hAnsi="Times New Roman" w:cs="Times New Roman"/>
          <w:sz w:val="24"/>
          <w:szCs w:val="24"/>
        </w:rPr>
        <w:t>If applicable, t</w:t>
      </w:r>
      <w:r>
        <w:rPr>
          <w:rFonts w:ascii="Times New Roman" w:hAnsi="Times New Roman" w:cs="Times New Roman"/>
          <w:sz w:val="24"/>
          <w:szCs w:val="24"/>
        </w:rPr>
        <w:t xml:space="preserve">he OCM will advise an individual to submit a request for experience credit on eDACM.  </w:t>
      </w:r>
      <w:r w:rsidR="00965484">
        <w:rPr>
          <w:rFonts w:ascii="Times New Roman" w:hAnsi="Times New Roman" w:cs="Times New Roman"/>
          <w:sz w:val="24"/>
          <w:szCs w:val="24"/>
        </w:rPr>
        <w:t xml:space="preserve">The next page contains a table </w:t>
      </w:r>
      <w:r>
        <w:rPr>
          <w:rFonts w:ascii="Times New Roman" w:hAnsi="Times New Roman" w:cs="Times New Roman"/>
          <w:sz w:val="24"/>
          <w:szCs w:val="24"/>
        </w:rPr>
        <w:t xml:space="preserve">containing military acquisition experience crediting guidelines.  </w:t>
      </w:r>
    </w:p>
    <w:p w:rsidR="00403EE8" w:rsidRDefault="00403EE8" w:rsidP="00616A09">
      <w:pPr>
        <w:rPr>
          <w:rFonts w:ascii="Times New Roman" w:hAnsi="Times New Roman" w:cs="Times New Roman"/>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8"/>
        <w:gridCol w:w="1216"/>
      </w:tblGrid>
      <w:tr w:rsidR="00B01035" w:rsidRPr="00B01035" w:rsidTr="008F6F58">
        <w:trPr>
          <w:trHeight w:val="232"/>
          <w:jc w:val="center"/>
        </w:trPr>
        <w:tc>
          <w:tcPr>
            <w:tcW w:w="7688" w:type="dxa"/>
            <w:shd w:val="clear" w:color="auto" w:fill="D9D9D9"/>
            <w:vAlign w:val="bottom"/>
          </w:tcPr>
          <w:p w:rsidR="00B01035" w:rsidRPr="00B01035" w:rsidRDefault="00B01035" w:rsidP="00B01035">
            <w:pPr>
              <w:tabs>
                <w:tab w:val="left" w:pos="540"/>
                <w:tab w:val="left" w:pos="1170"/>
              </w:tabs>
              <w:spacing w:after="240"/>
              <w:jc w:val="center"/>
              <w:rPr>
                <w:b/>
                <w:sz w:val="24"/>
                <w:szCs w:val="24"/>
              </w:rPr>
            </w:pPr>
            <w:r w:rsidRPr="00B01035">
              <w:rPr>
                <w:b/>
                <w:sz w:val="24"/>
                <w:szCs w:val="24"/>
              </w:rPr>
              <w:t>Experience Type</w:t>
            </w:r>
          </w:p>
        </w:tc>
        <w:tc>
          <w:tcPr>
            <w:tcW w:w="1216" w:type="dxa"/>
            <w:shd w:val="clear" w:color="auto" w:fill="D9D9D9"/>
            <w:vAlign w:val="bottom"/>
          </w:tcPr>
          <w:p w:rsidR="00B01035" w:rsidRPr="00B01035" w:rsidRDefault="00B01035" w:rsidP="00B01035">
            <w:pPr>
              <w:tabs>
                <w:tab w:val="left" w:pos="540"/>
                <w:tab w:val="left" w:pos="1170"/>
              </w:tabs>
              <w:spacing w:after="240"/>
              <w:jc w:val="center"/>
              <w:rPr>
                <w:b/>
                <w:sz w:val="24"/>
                <w:szCs w:val="24"/>
              </w:rPr>
            </w:pPr>
            <w:r w:rsidRPr="00B01035">
              <w:rPr>
                <w:b/>
                <w:sz w:val="24"/>
                <w:szCs w:val="24"/>
              </w:rPr>
              <w:t>Credit</w:t>
            </w:r>
          </w:p>
        </w:tc>
      </w:tr>
      <w:tr w:rsidR="00B01035" w:rsidRPr="00B01035" w:rsidTr="008F6F58">
        <w:trPr>
          <w:trHeight w:val="753"/>
          <w:jc w:val="center"/>
        </w:trPr>
        <w:tc>
          <w:tcPr>
            <w:tcW w:w="7688" w:type="dxa"/>
            <w:vAlign w:val="center"/>
          </w:tcPr>
          <w:p w:rsidR="00B01035" w:rsidRPr="00B01035" w:rsidRDefault="00B01035" w:rsidP="00B01035">
            <w:pPr>
              <w:tabs>
                <w:tab w:val="left" w:pos="540"/>
                <w:tab w:val="left" w:pos="1170"/>
              </w:tabs>
              <w:spacing w:after="240"/>
              <w:rPr>
                <w:sz w:val="24"/>
                <w:szCs w:val="24"/>
              </w:rPr>
            </w:pPr>
            <w:r w:rsidRPr="00B01035">
              <w:rPr>
                <w:b/>
                <w:sz w:val="24"/>
                <w:szCs w:val="24"/>
              </w:rPr>
              <w:t>AWF Billets:</w:t>
            </w:r>
            <w:r w:rsidRPr="00B01035">
              <w:rPr>
                <w:sz w:val="24"/>
                <w:szCs w:val="24"/>
              </w:rPr>
              <w:t xml:space="preserve"> Acquisition experience in one of the functional areas is credited for assignments in AWF positions. Experience is automatically accumulated and credited in eDACM for AQD designated assignments.</w:t>
            </w:r>
          </w:p>
        </w:tc>
        <w:tc>
          <w:tcPr>
            <w:tcW w:w="1216" w:type="dxa"/>
            <w:vAlign w:val="center"/>
          </w:tcPr>
          <w:p w:rsidR="00B01035" w:rsidRPr="00B01035" w:rsidRDefault="00B01035" w:rsidP="00B01035">
            <w:pPr>
              <w:tabs>
                <w:tab w:val="left" w:pos="540"/>
                <w:tab w:val="left" w:pos="1170"/>
              </w:tabs>
              <w:spacing w:after="240"/>
              <w:jc w:val="center"/>
              <w:rPr>
                <w:sz w:val="24"/>
                <w:szCs w:val="24"/>
              </w:rPr>
            </w:pPr>
            <w:r w:rsidRPr="00B01035">
              <w:rPr>
                <w:sz w:val="24"/>
                <w:szCs w:val="24"/>
              </w:rPr>
              <w:t>100%</w:t>
            </w:r>
          </w:p>
        </w:tc>
      </w:tr>
      <w:tr w:rsidR="00B01035" w:rsidRPr="00B01035" w:rsidTr="008F6F58">
        <w:trPr>
          <w:trHeight w:val="308"/>
          <w:jc w:val="center"/>
        </w:trPr>
        <w:tc>
          <w:tcPr>
            <w:tcW w:w="7688" w:type="dxa"/>
          </w:tcPr>
          <w:p w:rsidR="00B01035" w:rsidRPr="00B01035" w:rsidRDefault="00B01035" w:rsidP="00B01035">
            <w:pPr>
              <w:tabs>
                <w:tab w:val="left" w:pos="540"/>
                <w:tab w:val="left" w:pos="1170"/>
              </w:tabs>
              <w:spacing w:after="240"/>
              <w:rPr>
                <w:sz w:val="24"/>
                <w:szCs w:val="24"/>
              </w:rPr>
            </w:pPr>
            <w:r w:rsidRPr="00B01035">
              <w:rPr>
                <w:b/>
                <w:sz w:val="24"/>
                <w:szCs w:val="24"/>
              </w:rPr>
              <w:t>Non-Acquisition Billets</w:t>
            </w:r>
            <w:r w:rsidRPr="00B01035">
              <w:rPr>
                <w:sz w:val="24"/>
                <w:szCs w:val="24"/>
              </w:rPr>
              <w:t xml:space="preserve">: Non-acquisition billets that provide acquisition-related experience: OPTEVFOR, Operations Test Commands, Maintenance Commands, HQ Marine </w:t>
            </w:r>
            <w:r w:rsidRPr="00B01035">
              <w:rPr>
                <w:color w:val="000000"/>
                <w:sz w:val="24"/>
                <w:szCs w:val="24"/>
              </w:rPr>
              <w:t xml:space="preserve">Corps, OPNAV (N4, N8, N9, </w:t>
            </w:r>
            <w:r w:rsidR="00EB52B4" w:rsidRPr="00B01035">
              <w:rPr>
                <w:color w:val="000000"/>
                <w:sz w:val="24"/>
                <w:szCs w:val="24"/>
              </w:rPr>
              <w:t>and N2</w:t>
            </w:r>
            <w:r w:rsidR="00BC7CCA">
              <w:rPr>
                <w:color w:val="000000"/>
                <w:sz w:val="24"/>
                <w:szCs w:val="24"/>
              </w:rPr>
              <w:t xml:space="preserve"> </w:t>
            </w:r>
            <w:r w:rsidRPr="00B01035">
              <w:rPr>
                <w:color w:val="000000"/>
                <w:sz w:val="24"/>
                <w:szCs w:val="24"/>
              </w:rPr>
              <w:t>N6), FMB, FMC, and OSD J8 assignments may be granted related acquisition experience.</w:t>
            </w:r>
          </w:p>
        </w:tc>
        <w:tc>
          <w:tcPr>
            <w:tcW w:w="1216" w:type="dxa"/>
            <w:vAlign w:val="center"/>
          </w:tcPr>
          <w:p w:rsidR="00B01035" w:rsidRPr="00B01035" w:rsidRDefault="00B01035" w:rsidP="00B01035">
            <w:pPr>
              <w:tabs>
                <w:tab w:val="left" w:pos="540"/>
                <w:tab w:val="left" w:pos="1170"/>
              </w:tabs>
              <w:spacing w:after="240"/>
              <w:jc w:val="center"/>
              <w:rPr>
                <w:sz w:val="24"/>
                <w:szCs w:val="24"/>
              </w:rPr>
            </w:pPr>
            <w:r w:rsidRPr="00B01035">
              <w:rPr>
                <w:sz w:val="24"/>
                <w:szCs w:val="24"/>
              </w:rPr>
              <w:t>Up to 50%</w:t>
            </w:r>
          </w:p>
        </w:tc>
      </w:tr>
      <w:tr w:rsidR="00B01035" w:rsidRPr="00B01035" w:rsidTr="008F6F58">
        <w:trPr>
          <w:trHeight w:val="317"/>
          <w:jc w:val="center"/>
        </w:trPr>
        <w:tc>
          <w:tcPr>
            <w:tcW w:w="7688" w:type="dxa"/>
            <w:vAlign w:val="center"/>
          </w:tcPr>
          <w:p w:rsidR="00B01035" w:rsidRPr="00B01035" w:rsidRDefault="00B01035" w:rsidP="00B01035">
            <w:pPr>
              <w:tabs>
                <w:tab w:val="left" w:pos="540"/>
                <w:tab w:val="left" w:pos="1170"/>
              </w:tabs>
              <w:spacing w:after="240"/>
              <w:rPr>
                <w:sz w:val="24"/>
                <w:szCs w:val="24"/>
              </w:rPr>
            </w:pPr>
            <w:r w:rsidRPr="00B01035">
              <w:rPr>
                <w:b/>
                <w:sz w:val="24"/>
                <w:szCs w:val="24"/>
              </w:rPr>
              <w:t>Command Tours (Commanding Officer time only)</w:t>
            </w:r>
            <w:r w:rsidRPr="00B01035">
              <w:rPr>
                <w:sz w:val="24"/>
                <w:szCs w:val="24"/>
              </w:rPr>
              <w:t>: Must demonstrate acquisition-related experience.</w:t>
            </w:r>
          </w:p>
        </w:tc>
        <w:tc>
          <w:tcPr>
            <w:tcW w:w="1216" w:type="dxa"/>
            <w:vAlign w:val="center"/>
          </w:tcPr>
          <w:p w:rsidR="00B01035" w:rsidRPr="00B01035" w:rsidRDefault="00B01035" w:rsidP="00B01035">
            <w:pPr>
              <w:tabs>
                <w:tab w:val="left" w:pos="540"/>
                <w:tab w:val="left" w:pos="1170"/>
              </w:tabs>
              <w:spacing w:after="240"/>
              <w:jc w:val="center"/>
              <w:rPr>
                <w:sz w:val="24"/>
                <w:szCs w:val="24"/>
              </w:rPr>
            </w:pPr>
            <w:r w:rsidRPr="00B01035">
              <w:rPr>
                <w:sz w:val="24"/>
                <w:szCs w:val="24"/>
              </w:rPr>
              <w:t>100%</w:t>
            </w:r>
          </w:p>
        </w:tc>
      </w:tr>
      <w:tr w:rsidR="00B01035" w:rsidRPr="00B01035" w:rsidTr="008F6F58">
        <w:trPr>
          <w:trHeight w:val="317"/>
          <w:jc w:val="center"/>
        </w:trPr>
        <w:tc>
          <w:tcPr>
            <w:tcW w:w="7688" w:type="dxa"/>
            <w:vAlign w:val="center"/>
          </w:tcPr>
          <w:p w:rsidR="00B01035" w:rsidRPr="00B01035" w:rsidRDefault="00B01035" w:rsidP="00B01035">
            <w:pPr>
              <w:tabs>
                <w:tab w:val="left" w:pos="540"/>
                <w:tab w:val="left" w:pos="1170"/>
              </w:tabs>
              <w:spacing w:after="240"/>
              <w:rPr>
                <w:i/>
                <w:sz w:val="24"/>
                <w:szCs w:val="24"/>
              </w:rPr>
            </w:pPr>
            <w:r w:rsidRPr="00B01035">
              <w:rPr>
                <w:b/>
                <w:sz w:val="24"/>
                <w:szCs w:val="24"/>
              </w:rPr>
              <w:t>Industry Rotation</w:t>
            </w:r>
            <w:r w:rsidRPr="00B01035">
              <w:rPr>
                <w:sz w:val="24"/>
                <w:szCs w:val="24"/>
              </w:rPr>
              <w:t>: SECDEF Fellows assignment, or SECNAV Tours (SNTWI) program or similar. Must demonstrate acquisition related experience gained from rotation.</w:t>
            </w:r>
          </w:p>
        </w:tc>
        <w:tc>
          <w:tcPr>
            <w:tcW w:w="1216" w:type="dxa"/>
            <w:vAlign w:val="center"/>
          </w:tcPr>
          <w:p w:rsidR="00B01035" w:rsidRPr="00B01035" w:rsidRDefault="00B01035" w:rsidP="00B01035">
            <w:pPr>
              <w:tabs>
                <w:tab w:val="left" w:pos="540"/>
                <w:tab w:val="left" w:pos="1170"/>
              </w:tabs>
              <w:spacing w:after="240"/>
              <w:jc w:val="center"/>
              <w:rPr>
                <w:sz w:val="24"/>
                <w:szCs w:val="24"/>
              </w:rPr>
            </w:pPr>
            <w:r w:rsidRPr="00B01035">
              <w:rPr>
                <w:sz w:val="24"/>
                <w:szCs w:val="24"/>
              </w:rPr>
              <w:t>Maximum of 12 months</w:t>
            </w:r>
          </w:p>
        </w:tc>
      </w:tr>
      <w:tr w:rsidR="00B01035" w:rsidRPr="00B01035" w:rsidTr="008F6F58">
        <w:trPr>
          <w:trHeight w:val="317"/>
          <w:jc w:val="center"/>
        </w:trPr>
        <w:tc>
          <w:tcPr>
            <w:tcW w:w="7688" w:type="dxa"/>
          </w:tcPr>
          <w:p w:rsidR="00B01035" w:rsidRPr="00B01035" w:rsidRDefault="00B01035" w:rsidP="00B01035">
            <w:pPr>
              <w:tabs>
                <w:tab w:val="left" w:pos="540"/>
                <w:tab w:val="left" w:pos="1170"/>
              </w:tabs>
              <w:spacing w:after="240"/>
              <w:rPr>
                <w:i/>
                <w:sz w:val="24"/>
                <w:szCs w:val="24"/>
              </w:rPr>
            </w:pPr>
            <w:r w:rsidRPr="00B01035">
              <w:rPr>
                <w:b/>
                <w:sz w:val="24"/>
                <w:szCs w:val="24"/>
              </w:rPr>
              <w:t>Acquisition-Related Education</w:t>
            </w:r>
            <w:r w:rsidRPr="00B01035">
              <w:rPr>
                <w:sz w:val="24"/>
                <w:szCs w:val="24"/>
              </w:rPr>
              <w:t xml:space="preserve">: </w:t>
            </w:r>
            <w:r w:rsidR="006811B9">
              <w:rPr>
                <w:sz w:val="24"/>
                <w:szCs w:val="24"/>
              </w:rPr>
              <w:t xml:space="preserve">Requested when applying for certification or APM (not via eDACM experience module).  </w:t>
            </w:r>
            <w:r w:rsidRPr="00B01035">
              <w:rPr>
                <w:sz w:val="24"/>
                <w:szCs w:val="24"/>
              </w:rPr>
              <w:t>Acquisition-related education may be credited towards experience in the following cases:</w:t>
            </w:r>
          </w:p>
          <w:p w:rsidR="00B01035" w:rsidRPr="00B01035" w:rsidRDefault="00B01035" w:rsidP="00B01035">
            <w:pPr>
              <w:numPr>
                <w:ilvl w:val="0"/>
                <w:numId w:val="11"/>
              </w:numPr>
              <w:tabs>
                <w:tab w:val="left" w:pos="540"/>
                <w:tab w:val="left" w:pos="720"/>
              </w:tabs>
              <w:spacing w:after="240"/>
              <w:ind w:left="148" w:hanging="148"/>
              <w:contextualSpacing/>
              <w:rPr>
                <w:b/>
                <w:sz w:val="24"/>
                <w:szCs w:val="24"/>
              </w:rPr>
            </w:pPr>
            <w:r w:rsidRPr="00B01035">
              <w:rPr>
                <w:sz w:val="24"/>
                <w:szCs w:val="24"/>
              </w:rPr>
              <w:t xml:space="preserve">Officer is pursuing certification or APM when the </w:t>
            </w:r>
            <w:r w:rsidRPr="00BC7CCA">
              <w:rPr>
                <w:sz w:val="24"/>
                <w:szCs w:val="24"/>
                <w:u w:val="single"/>
              </w:rPr>
              <w:t>experience requirement is greater than or equal to 4 years,</w:t>
            </w:r>
            <w:r w:rsidRPr="00B01035">
              <w:rPr>
                <w:sz w:val="24"/>
                <w:szCs w:val="24"/>
              </w:rPr>
              <w:t xml:space="preserve"> and </w:t>
            </w:r>
            <w:r w:rsidRPr="00B01035">
              <w:rPr>
                <w:sz w:val="24"/>
                <w:szCs w:val="24"/>
                <w:u w:val="single"/>
              </w:rPr>
              <w:t>one</w:t>
            </w:r>
            <w:r w:rsidRPr="00B01035">
              <w:rPr>
                <w:sz w:val="24"/>
                <w:szCs w:val="24"/>
              </w:rPr>
              <w:t xml:space="preserve"> of the following applies: </w:t>
            </w:r>
          </w:p>
          <w:p w:rsidR="00B01035" w:rsidRPr="00B01035" w:rsidRDefault="00B01035" w:rsidP="00B01035">
            <w:pPr>
              <w:tabs>
                <w:tab w:val="left" w:pos="540"/>
                <w:tab w:val="left" w:pos="720"/>
              </w:tabs>
              <w:spacing w:after="240"/>
              <w:ind w:left="148"/>
              <w:contextualSpacing/>
              <w:rPr>
                <w:b/>
                <w:sz w:val="24"/>
                <w:szCs w:val="24"/>
              </w:rPr>
            </w:pPr>
          </w:p>
          <w:p w:rsidR="00B01035" w:rsidRPr="00B01035" w:rsidRDefault="00B01035" w:rsidP="00B01035">
            <w:pPr>
              <w:numPr>
                <w:ilvl w:val="0"/>
                <w:numId w:val="12"/>
              </w:numPr>
              <w:tabs>
                <w:tab w:val="left" w:pos="540"/>
                <w:tab w:val="left" w:pos="720"/>
              </w:tabs>
              <w:spacing w:after="240"/>
              <w:contextualSpacing/>
              <w:rPr>
                <w:sz w:val="24"/>
                <w:szCs w:val="24"/>
              </w:rPr>
            </w:pPr>
            <w:r w:rsidRPr="00B01035">
              <w:rPr>
                <w:sz w:val="24"/>
                <w:szCs w:val="24"/>
              </w:rPr>
              <w:t>Holds a master’s degree in hard sciences or business (e.g., Engineering, Computer Science, MBA)</w:t>
            </w:r>
          </w:p>
          <w:p w:rsidR="00B01035" w:rsidRPr="00B01035" w:rsidRDefault="00B01035" w:rsidP="00B01035">
            <w:pPr>
              <w:tabs>
                <w:tab w:val="left" w:pos="540"/>
                <w:tab w:val="left" w:pos="720"/>
              </w:tabs>
              <w:spacing w:after="240"/>
              <w:ind w:left="508"/>
              <w:contextualSpacing/>
              <w:rPr>
                <w:sz w:val="10"/>
                <w:szCs w:val="10"/>
              </w:rPr>
            </w:pPr>
          </w:p>
          <w:p w:rsidR="00B01035" w:rsidRPr="00B01035" w:rsidRDefault="00B01035" w:rsidP="00B01035">
            <w:pPr>
              <w:numPr>
                <w:ilvl w:val="0"/>
                <w:numId w:val="12"/>
              </w:numPr>
              <w:tabs>
                <w:tab w:val="left" w:pos="540"/>
                <w:tab w:val="left" w:pos="720"/>
              </w:tabs>
              <w:spacing w:after="240"/>
              <w:contextualSpacing/>
              <w:rPr>
                <w:sz w:val="24"/>
                <w:szCs w:val="24"/>
              </w:rPr>
            </w:pPr>
            <w:r w:rsidRPr="00B01035">
              <w:rPr>
                <w:sz w:val="24"/>
                <w:szCs w:val="24"/>
              </w:rPr>
              <w:t>Completes acquisition-related education (e.g., NDU Eisenhower School Senior Acquisition Course, Nuclear Power training, USN Test Pilot School)</w:t>
            </w:r>
          </w:p>
          <w:p w:rsidR="00B01035" w:rsidRPr="00B01035" w:rsidRDefault="00B01035" w:rsidP="00B01035">
            <w:pPr>
              <w:tabs>
                <w:tab w:val="left" w:pos="720"/>
              </w:tabs>
              <w:ind w:left="720"/>
              <w:contextualSpacing/>
              <w:rPr>
                <w:sz w:val="10"/>
                <w:szCs w:val="10"/>
              </w:rPr>
            </w:pPr>
          </w:p>
          <w:p w:rsidR="00B01035" w:rsidRPr="00B01035" w:rsidRDefault="00B01035" w:rsidP="00B01035">
            <w:pPr>
              <w:numPr>
                <w:ilvl w:val="0"/>
                <w:numId w:val="12"/>
              </w:numPr>
              <w:tabs>
                <w:tab w:val="left" w:pos="540"/>
                <w:tab w:val="left" w:pos="720"/>
              </w:tabs>
              <w:spacing w:after="240"/>
              <w:contextualSpacing/>
              <w:rPr>
                <w:sz w:val="24"/>
                <w:szCs w:val="24"/>
              </w:rPr>
            </w:pPr>
            <w:r w:rsidRPr="00B01035">
              <w:rPr>
                <w:sz w:val="24"/>
                <w:szCs w:val="24"/>
              </w:rPr>
              <w:t>Completes a master’s degree from any DoD-affiliated school (e.g., Naval War College, Naval Postgraduate School, etc.)</w:t>
            </w:r>
          </w:p>
          <w:p w:rsidR="00B01035" w:rsidRPr="00B01035" w:rsidRDefault="00B01035" w:rsidP="00B01035">
            <w:pPr>
              <w:tabs>
                <w:tab w:val="left" w:pos="720"/>
              </w:tabs>
              <w:ind w:left="720"/>
              <w:contextualSpacing/>
              <w:rPr>
                <w:sz w:val="24"/>
                <w:szCs w:val="24"/>
              </w:rPr>
            </w:pPr>
          </w:p>
          <w:p w:rsidR="00B01035" w:rsidRPr="00B01035" w:rsidRDefault="00B01035" w:rsidP="00B01035">
            <w:pPr>
              <w:tabs>
                <w:tab w:val="left" w:pos="720"/>
              </w:tabs>
              <w:ind w:left="720"/>
              <w:contextualSpacing/>
              <w:rPr>
                <w:b/>
                <w:sz w:val="10"/>
                <w:szCs w:val="10"/>
                <w:u w:val="single"/>
              </w:rPr>
            </w:pPr>
          </w:p>
          <w:p w:rsidR="00B01035" w:rsidRPr="00B01035" w:rsidRDefault="00B01035" w:rsidP="00B01035">
            <w:pPr>
              <w:tabs>
                <w:tab w:val="left" w:pos="540"/>
              </w:tabs>
              <w:spacing w:after="240"/>
              <w:rPr>
                <w:sz w:val="24"/>
                <w:szCs w:val="24"/>
              </w:rPr>
            </w:pPr>
            <w:r w:rsidRPr="00B01035">
              <w:rPr>
                <w:b/>
                <w:sz w:val="24"/>
                <w:szCs w:val="24"/>
                <w:u w:val="single"/>
              </w:rPr>
              <w:t>Note (1)</w:t>
            </w:r>
            <w:r w:rsidRPr="00B01035">
              <w:rPr>
                <w:b/>
                <w:sz w:val="24"/>
                <w:szCs w:val="24"/>
              </w:rPr>
              <w:t xml:space="preserve">: </w:t>
            </w:r>
            <w:r w:rsidRPr="00B01035">
              <w:rPr>
                <w:sz w:val="24"/>
                <w:szCs w:val="24"/>
              </w:rPr>
              <w:t>Education resulting in the award of subspecialty code 5100P may be credited for a maximum of 18 months. Education resulting in the award of subspecialty code 5100N may be credited for a maximum of 24 months.</w:t>
            </w:r>
          </w:p>
          <w:p w:rsidR="00B01035" w:rsidRPr="00B01035" w:rsidRDefault="00B01035" w:rsidP="00B01035">
            <w:pPr>
              <w:tabs>
                <w:tab w:val="left" w:pos="540"/>
              </w:tabs>
              <w:spacing w:after="240"/>
              <w:rPr>
                <w:sz w:val="24"/>
                <w:szCs w:val="24"/>
              </w:rPr>
            </w:pPr>
            <w:r w:rsidRPr="00B01035">
              <w:rPr>
                <w:b/>
                <w:sz w:val="24"/>
                <w:szCs w:val="24"/>
                <w:u w:val="single"/>
              </w:rPr>
              <w:t>Note (2)</w:t>
            </w:r>
            <w:r w:rsidRPr="00B01035">
              <w:rPr>
                <w:b/>
                <w:sz w:val="24"/>
                <w:szCs w:val="24"/>
              </w:rPr>
              <w:t>:</w:t>
            </w:r>
            <w:r w:rsidRPr="00B01035">
              <w:rPr>
                <w:sz w:val="24"/>
                <w:szCs w:val="24"/>
              </w:rPr>
              <w:t xml:space="preserve"> After an education for experience substitution is credited, it may not be repurposed for multiple certifications. It may, however, be used to meet one certification experience standard and a request for APM.</w:t>
            </w:r>
          </w:p>
        </w:tc>
        <w:tc>
          <w:tcPr>
            <w:tcW w:w="1216" w:type="dxa"/>
            <w:vAlign w:val="center"/>
          </w:tcPr>
          <w:p w:rsidR="00B01035" w:rsidRPr="00B01035" w:rsidRDefault="00B01035" w:rsidP="00B01035">
            <w:pPr>
              <w:tabs>
                <w:tab w:val="left" w:pos="540"/>
                <w:tab w:val="left" w:pos="1170"/>
              </w:tabs>
              <w:spacing w:after="240"/>
              <w:jc w:val="center"/>
              <w:rPr>
                <w:sz w:val="24"/>
                <w:szCs w:val="24"/>
              </w:rPr>
            </w:pPr>
            <w:r w:rsidRPr="00B01035">
              <w:rPr>
                <w:sz w:val="24"/>
                <w:szCs w:val="24"/>
              </w:rPr>
              <w:t>Maximum of 12 months</w:t>
            </w:r>
          </w:p>
        </w:tc>
      </w:tr>
    </w:tbl>
    <w:p w:rsidR="00B01035" w:rsidRDefault="00B01035" w:rsidP="00A231A7">
      <w:pPr>
        <w:rPr>
          <w:rFonts w:ascii="Times New Roman" w:hAnsi="Times New Roman" w:cs="Times New Roman"/>
          <w:sz w:val="24"/>
          <w:szCs w:val="24"/>
        </w:rPr>
      </w:pPr>
    </w:p>
    <w:p w:rsidR="00E448B3" w:rsidRDefault="00E448B3" w:rsidP="005B0381">
      <w:pPr>
        <w:jc w:val="center"/>
        <w:rPr>
          <w:rFonts w:ascii="Times New Roman" w:hAnsi="Times New Roman" w:cs="Times New Roman"/>
          <w:b/>
          <w:sz w:val="24"/>
          <w:szCs w:val="24"/>
        </w:rPr>
      </w:pPr>
    </w:p>
    <w:p w:rsidR="00906BDD" w:rsidRPr="0083644D" w:rsidRDefault="00906BDD" w:rsidP="005B0381">
      <w:pPr>
        <w:jc w:val="center"/>
        <w:rPr>
          <w:rFonts w:ascii="Times New Roman" w:hAnsi="Times New Roman" w:cs="Times New Roman"/>
          <w:b/>
          <w:sz w:val="24"/>
          <w:szCs w:val="24"/>
        </w:rPr>
      </w:pPr>
      <w:r w:rsidRPr="0083644D">
        <w:rPr>
          <w:rFonts w:ascii="Times New Roman" w:hAnsi="Times New Roman" w:cs="Times New Roman"/>
          <w:b/>
          <w:sz w:val="24"/>
          <w:szCs w:val="24"/>
        </w:rPr>
        <w:t>FAQs</w:t>
      </w:r>
      <w:r w:rsidR="0083644D">
        <w:rPr>
          <w:rFonts w:ascii="Times New Roman" w:hAnsi="Times New Roman" w:cs="Times New Roman"/>
          <w:b/>
          <w:sz w:val="24"/>
          <w:szCs w:val="24"/>
        </w:rPr>
        <w:t xml:space="preserve"> &amp; Tips</w:t>
      </w:r>
    </w:p>
    <w:p w:rsidR="00482F82" w:rsidRDefault="00616A09" w:rsidP="00FB55B6">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How do I get help using </w:t>
      </w:r>
      <w:r w:rsidR="00482F82">
        <w:rPr>
          <w:rFonts w:ascii="Times New Roman" w:hAnsi="Times New Roman" w:cs="Times New Roman"/>
          <w:b/>
          <w:sz w:val="24"/>
          <w:szCs w:val="24"/>
        </w:rPr>
        <w:t>eDACM?</w:t>
      </w:r>
    </w:p>
    <w:p w:rsidR="00482F82" w:rsidRDefault="00482F82" w:rsidP="00482F82">
      <w:pPr>
        <w:pStyle w:val="ListParagraph"/>
        <w:ind w:left="360"/>
        <w:rPr>
          <w:rFonts w:ascii="Times New Roman" w:hAnsi="Times New Roman" w:cs="Times New Roman"/>
          <w:b/>
          <w:sz w:val="24"/>
          <w:szCs w:val="24"/>
        </w:rPr>
      </w:pPr>
    </w:p>
    <w:p w:rsidR="00C55B11" w:rsidRDefault="00A006E0" w:rsidP="00482F82">
      <w:pPr>
        <w:pStyle w:val="ListParagraph"/>
        <w:ind w:left="0"/>
        <w:rPr>
          <w:rFonts w:ascii="Times New Roman" w:hAnsi="Times New Roman" w:cs="Times New Roman"/>
          <w:sz w:val="24"/>
          <w:szCs w:val="24"/>
        </w:rPr>
      </w:pPr>
      <w:r>
        <w:rPr>
          <w:rFonts w:ascii="Times New Roman" w:hAnsi="Times New Roman" w:cs="Times New Roman"/>
          <w:sz w:val="24"/>
          <w:szCs w:val="24"/>
        </w:rPr>
        <w:t>Lo</w:t>
      </w:r>
      <w:r w:rsidR="00C60AD2">
        <w:rPr>
          <w:rFonts w:ascii="Times New Roman" w:hAnsi="Times New Roman" w:cs="Times New Roman"/>
          <w:sz w:val="24"/>
          <w:szCs w:val="24"/>
        </w:rPr>
        <w:t xml:space="preserve">g in and view </w:t>
      </w:r>
      <w:r>
        <w:rPr>
          <w:rFonts w:ascii="Times New Roman" w:hAnsi="Times New Roman" w:cs="Times New Roman"/>
          <w:sz w:val="24"/>
          <w:szCs w:val="24"/>
        </w:rPr>
        <w:t xml:space="preserve">your eDACM DAWIA transcript. The top section displays DAWIA points of contact at your respective </w:t>
      </w:r>
      <w:r w:rsidR="00C60AD2">
        <w:rPr>
          <w:rFonts w:ascii="Times New Roman" w:hAnsi="Times New Roman" w:cs="Times New Roman"/>
          <w:sz w:val="24"/>
          <w:szCs w:val="24"/>
        </w:rPr>
        <w:t xml:space="preserve">SYSCOM/organization.  </w:t>
      </w:r>
      <w:r>
        <w:rPr>
          <w:rFonts w:ascii="Times New Roman" w:hAnsi="Times New Roman" w:cs="Times New Roman"/>
          <w:sz w:val="24"/>
          <w:szCs w:val="24"/>
        </w:rPr>
        <w:t xml:space="preserve">For eDACM technical support, </w:t>
      </w:r>
      <w:r w:rsidR="00482F82" w:rsidRPr="00482F82">
        <w:rPr>
          <w:rFonts w:ascii="Times New Roman" w:hAnsi="Times New Roman" w:cs="Times New Roman"/>
          <w:sz w:val="24"/>
          <w:szCs w:val="24"/>
        </w:rPr>
        <w:t xml:space="preserve">contact the </w:t>
      </w:r>
      <w:r w:rsidR="00C60AD2">
        <w:rPr>
          <w:rFonts w:ascii="Times New Roman" w:hAnsi="Times New Roman" w:cs="Times New Roman"/>
          <w:sz w:val="24"/>
          <w:szCs w:val="24"/>
        </w:rPr>
        <w:t>help desk</w:t>
      </w:r>
      <w:r>
        <w:rPr>
          <w:rFonts w:ascii="Times New Roman" w:hAnsi="Times New Roman" w:cs="Times New Roman"/>
          <w:sz w:val="24"/>
          <w:szCs w:val="24"/>
        </w:rPr>
        <w:t xml:space="preserve"> </w:t>
      </w:r>
      <w:r w:rsidR="00C60AD2">
        <w:rPr>
          <w:rFonts w:ascii="Times New Roman" w:hAnsi="Times New Roman" w:cs="Times New Roman"/>
          <w:sz w:val="24"/>
          <w:szCs w:val="24"/>
        </w:rPr>
        <w:t>by clicking the person icon in the top menu bar.</w:t>
      </w:r>
      <w:r w:rsidR="004A4A3A">
        <w:rPr>
          <w:rFonts w:ascii="Times New Roman" w:hAnsi="Times New Roman" w:cs="Times New Roman"/>
          <w:sz w:val="24"/>
          <w:szCs w:val="24"/>
        </w:rPr>
        <w:t xml:space="preserve"> </w:t>
      </w:r>
      <w:r w:rsidR="004A4A3A" w:rsidRPr="004A4A3A">
        <w:rPr>
          <w:rFonts w:ascii="Times New Roman" w:hAnsi="Times New Roman" w:cs="Times New Roman"/>
          <w:noProof/>
          <w:sz w:val="24"/>
          <w:szCs w:val="24"/>
        </w:rPr>
        <w:drawing>
          <wp:inline distT="0" distB="0" distL="0" distR="0" wp14:anchorId="402ADB4E" wp14:editId="7F19E42F">
            <wp:extent cx="209550" cy="194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3281" cy="198401"/>
                    </a:xfrm>
                    <a:prstGeom prst="rect">
                      <a:avLst/>
                    </a:prstGeom>
                  </pic:spPr>
                </pic:pic>
              </a:graphicData>
            </a:graphic>
          </wp:inline>
        </w:drawing>
      </w:r>
    </w:p>
    <w:p w:rsidR="004A4A3A" w:rsidRDefault="004A4A3A" w:rsidP="00482F82">
      <w:pPr>
        <w:pStyle w:val="ListParagraph"/>
        <w:ind w:left="0"/>
        <w:rPr>
          <w:rFonts w:ascii="Times New Roman" w:hAnsi="Times New Roman" w:cs="Times New Roman"/>
          <w:sz w:val="24"/>
          <w:szCs w:val="24"/>
        </w:rPr>
      </w:pPr>
    </w:p>
    <w:p w:rsidR="00482F82" w:rsidRDefault="00482F82" w:rsidP="00482F82">
      <w:pPr>
        <w:pStyle w:val="ListParagraph"/>
        <w:ind w:left="0"/>
        <w:rPr>
          <w:rFonts w:ascii="Times New Roman" w:hAnsi="Times New Roman" w:cs="Times New Roman"/>
          <w:sz w:val="24"/>
          <w:szCs w:val="24"/>
        </w:rPr>
      </w:pPr>
      <w:r w:rsidRPr="00482F82">
        <w:rPr>
          <w:rFonts w:ascii="Times New Roman" w:hAnsi="Times New Roman" w:cs="Times New Roman"/>
          <w:sz w:val="24"/>
          <w:szCs w:val="24"/>
        </w:rPr>
        <w:t>The eDACM Support Team can also field questions related to DAU registration, waitlists and prioritization.</w:t>
      </w:r>
      <w:r w:rsidR="00A006E0">
        <w:rPr>
          <w:rFonts w:ascii="Times New Roman" w:hAnsi="Times New Roman" w:cs="Times New Roman"/>
          <w:sz w:val="24"/>
          <w:szCs w:val="24"/>
        </w:rPr>
        <w:t xml:space="preserve">  If applying for a </w:t>
      </w:r>
      <w:r w:rsidR="00616A09">
        <w:rPr>
          <w:rFonts w:ascii="Times New Roman" w:hAnsi="Times New Roman" w:cs="Times New Roman"/>
          <w:sz w:val="24"/>
          <w:szCs w:val="24"/>
        </w:rPr>
        <w:t xml:space="preserve">self-paced, </w:t>
      </w:r>
      <w:r w:rsidR="00A006E0">
        <w:rPr>
          <w:rFonts w:ascii="Times New Roman" w:hAnsi="Times New Roman" w:cs="Times New Roman"/>
          <w:sz w:val="24"/>
          <w:szCs w:val="24"/>
        </w:rPr>
        <w:t xml:space="preserve">non-instructor led DAU course go </w:t>
      </w:r>
      <w:r w:rsidR="00C55B11">
        <w:rPr>
          <w:rFonts w:ascii="Times New Roman" w:hAnsi="Times New Roman" w:cs="Times New Roman"/>
          <w:sz w:val="24"/>
          <w:szCs w:val="24"/>
        </w:rPr>
        <w:t xml:space="preserve">directly </w:t>
      </w:r>
      <w:r w:rsidR="00A006E0">
        <w:rPr>
          <w:rFonts w:ascii="Times New Roman" w:hAnsi="Times New Roman" w:cs="Times New Roman"/>
          <w:sz w:val="24"/>
          <w:szCs w:val="24"/>
        </w:rPr>
        <w:t xml:space="preserve">to DAU’s </w:t>
      </w:r>
      <w:hyperlink r:id="rId12" w:history="1">
        <w:r w:rsidR="00616A09" w:rsidRPr="00616A09">
          <w:rPr>
            <w:rStyle w:val="Hyperlink"/>
            <w:rFonts w:ascii="Times New Roman" w:hAnsi="Times New Roman" w:cs="Times New Roman"/>
            <w:sz w:val="24"/>
            <w:szCs w:val="24"/>
          </w:rPr>
          <w:t>virtual campus</w:t>
        </w:r>
        <w:r w:rsidR="00A006E0" w:rsidRPr="00616A09">
          <w:rPr>
            <w:rStyle w:val="Hyperlink"/>
            <w:rFonts w:ascii="Times New Roman" w:hAnsi="Times New Roman" w:cs="Times New Roman"/>
            <w:sz w:val="24"/>
            <w:szCs w:val="24"/>
          </w:rPr>
          <w:t>.</w:t>
        </w:r>
      </w:hyperlink>
    </w:p>
    <w:p w:rsidR="00482F82" w:rsidRDefault="00482F82" w:rsidP="00482F82">
      <w:pPr>
        <w:pStyle w:val="ListParagraph"/>
        <w:ind w:left="360"/>
        <w:rPr>
          <w:rFonts w:ascii="Times New Roman" w:hAnsi="Times New Roman" w:cs="Times New Roman"/>
          <w:b/>
          <w:sz w:val="24"/>
          <w:szCs w:val="24"/>
        </w:rPr>
      </w:pPr>
    </w:p>
    <w:p w:rsidR="004E1C21" w:rsidRPr="00FB55B6" w:rsidRDefault="004E1C21" w:rsidP="00FB55B6">
      <w:pPr>
        <w:pStyle w:val="ListParagraph"/>
        <w:numPr>
          <w:ilvl w:val="0"/>
          <w:numId w:val="5"/>
        </w:numPr>
        <w:rPr>
          <w:rFonts w:ascii="Times New Roman" w:hAnsi="Times New Roman" w:cs="Times New Roman"/>
          <w:b/>
          <w:sz w:val="24"/>
          <w:szCs w:val="24"/>
        </w:rPr>
      </w:pPr>
      <w:r w:rsidRPr="00FB55B6">
        <w:rPr>
          <w:rFonts w:ascii="Times New Roman" w:hAnsi="Times New Roman" w:cs="Times New Roman"/>
          <w:b/>
          <w:sz w:val="24"/>
          <w:szCs w:val="24"/>
        </w:rPr>
        <w:t xml:space="preserve">How do I get DAU </w:t>
      </w:r>
      <w:r w:rsidR="00C55B11">
        <w:rPr>
          <w:rFonts w:ascii="Times New Roman" w:hAnsi="Times New Roman" w:cs="Times New Roman"/>
          <w:b/>
          <w:sz w:val="24"/>
          <w:szCs w:val="24"/>
        </w:rPr>
        <w:t xml:space="preserve">course </w:t>
      </w:r>
      <w:r w:rsidR="005B0381" w:rsidRPr="00FB55B6">
        <w:rPr>
          <w:rFonts w:ascii="Times New Roman" w:hAnsi="Times New Roman" w:cs="Times New Roman"/>
          <w:b/>
          <w:sz w:val="24"/>
          <w:szCs w:val="24"/>
        </w:rPr>
        <w:t>c</w:t>
      </w:r>
      <w:r w:rsidRPr="00FB55B6">
        <w:rPr>
          <w:rFonts w:ascii="Times New Roman" w:hAnsi="Times New Roman" w:cs="Times New Roman"/>
          <w:b/>
          <w:sz w:val="24"/>
          <w:szCs w:val="24"/>
        </w:rPr>
        <w:t>redit for education or training I completed elsewhere (e.g. NPS or other providers)?</w:t>
      </w:r>
    </w:p>
    <w:p w:rsidR="004E1C21" w:rsidRPr="004652CF" w:rsidRDefault="009457DD">
      <w:pPr>
        <w:rPr>
          <w:rFonts w:ascii="Times New Roman" w:hAnsi="Times New Roman" w:cs="Times New Roman"/>
          <w:sz w:val="24"/>
          <w:szCs w:val="24"/>
        </w:rPr>
      </w:pPr>
      <w:r w:rsidRPr="004652CF">
        <w:rPr>
          <w:rFonts w:ascii="Times New Roman" w:hAnsi="Times New Roman" w:cs="Times New Roman"/>
          <w:sz w:val="24"/>
          <w:szCs w:val="24"/>
        </w:rPr>
        <w:t xml:space="preserve">For AWF members, </w:t>
      </w:r>
      <w:r w:rsidR="00520B43" w:rsidRPr="004652CF">
        <w:rPr>
          <w:rFonts w:ascii="Times New Roman" w:hAnsi="Times New Roman" w:cs="Times New Roman"/>
          <w:sz w:val="24"/>
          <w:szCs w:val="24"/>
        </w:rPr>
        <w:t>the following options exist to obtain DAU course credit if training or education was obtain</w:t>
      </w:r>
      <w:r w:rsidR="00720873" w:rsidRPr="004652CF">
        <w:rPr>
          <w:rFonts w:ascii="Times New Roman" w:hAnsi="Times New Roman" w:cs="Times New Roman"/>
          <w:sz w:val="24"/>
          <w:szCs w:val="24"/>
        </w:rPr>
        <w:t>ed</w:t>
      </w:r>
      <w:r w:rsidR="00520B43" w:rsidRPr="004652CF">
        <w:rPr>
          <w:rFonts w:ascii="Times New Roman" w:hAnsi="Times New Roman" w:cs="Times New Roman"/>
          <w:sz w:val="24"/>
          <w:szCs w:val="24"/>
        </w:rPr>
        <w:t xml:space="preserve"> through </w:t>
      </w:r>
      <w:r w:rsidR="007536D2" w:rsidRPr="004652CF">
        <w:rPr>
          <w:rFonts w:ascii="Times New Roman" w:hAnsi="Times New Roman" w:cs="Times New Roman"/>
          <w:sz w:val="24"/>
          <w:szCs w:val="24"/>
        </w:rPr>
        <w:t xml:space="preserve">an alternate </w:t>
      </w:r>
      <w:r w:rsidR="00520B43" w:rsidRPr="004652CF">
        <w:rPr>
          <w:rFonts w:ascii="Times New Roman" w:hAnsi="Times New Roman" w:cs="Times New Roman"/>
          <w:sz w:val="24"/>
          <w:szCs w:val="24"/>
        </w:rPr>
        <w:t xml:space="preserve">provider. </w:t>
      </w:r>
    </w:p>
    <w:p w:rsidR="00E436A4" w:rsidRPr="00C60AD2" w:rsidRDefault="001B7DDF" w:rsidP="00365A8C">
      <w:pPr>
        <w:pStyle w:val="ListParagraph"/>
        <w:numPr>
          <w:ilvl w:val="0"/>
          <w:numId w:val="2"/>
        </w:numPr>
        <w:rPr>
          <w:rFonts w:ascii="Times New Roman" w:hAnsi="Times New Roman" w:cs="Times New Roman"/>
          <w:sz w:val="20"/>
          <w:szCs w:val="20"/>
        </w:rPr>
      </w:pPr>
      <w:r w:rsidRPr="00C60AD2">
        <w:rPr>
          <w:rFonts w:ascii="Times New Roman" w:hAnsi="Times New Roman" w:cs="Times New Roman"/>
          <w:sz w:val="20"/>
          <w:szCs w:val="20"/>
          <w:u w:val="single"/>
        </w:rPr>
        <w:t>Fulfillment</w:t>
      </w:r>
      <w:r w:rsidR="0083644D" w:rsidRPr="00C60AD2">
        <w:rPr>
          <w:rFonts w:ascii="Times New Roman" w:hAnsi="Times New Roman" w:cs="Times New Roman"/>
          <w:sz w:val="20"/>
          <w:szCs w:val="20"/>
        </w:rPr>
        <w:t xml:space="preserve"> – </w:t>
      </w:r>
      <w:r w:rsidR="00C60AD2" w:rsidRPr="00C60AD2">
        <w:rPr>
          <w:rFonts w:ascii="Times New Roman" w:hAnsi="Times New Roman" w:cs="Times New Roman"/>
          <w:sz w:val="20"/>
          <w:szCs w:val="20"/>
        </w:rPr>
        <w:t xml:space="preserve">Individuals </w:t>
      </w:r>
      <w:r w:rsidR="0083644D" w:rsidRPr="00C60AD2">
        <w:rPr>
          <w:rFonts w:ascii="Times New Roman" w:hAnsi="Times New Roman" w:cs="Times New Roman"/>
          <w:sz w:val="20"/>
          <w:szCs w:val="20"/>
        </w:rPr>
        <w:t xml:space="preserve">prepare a package that demonstrates how previously acquired experience, formal education or training meets the preponderance of the DAU course learning objectives.  </w:t>
      </w:r>
      <w:r w:rsidR="00B41588">
        <w:rPr>
          <w:rFonts w:ascii="Times New Roman" w:hAnsi="Times New Roman" w:cs="Times New Roman"/>
          <w:sz w:val="20"/>
          <w:szCs w:val="20"/>
        </w:rPr>
        <w:t xml:space="preserve">First, verify that DAU lists the course in their current </w:t>
      </w:r>
      <w:hyperlink r:id="rId13" w:history="1">
        <w:r w:rsidR="00B41588" w:rsidRPr="004652CF">
          <w:rPr>
            <w:rStyle w:val="Hyperlink"/>
            <w:rFonts w:ascii="Times New Roman" w:hAnsi="Times New Roman" w:cs="Times New Roman"/>
            <w:sz w:val="20"/>
            <w:szCs w:val="20"/>
          </w:rPr>
          <w:t>fulfillment guide</w:t>
        </w:r>
      </w:hyperlink>
      <w:r w:rsidR="00B41588">
        <w:rPr>
          <w:rFonts w:ascii="Times New Roman" w:hAnsi="Times New Roman" w:cs="Times New Roman"/>
          <w:sz w:val="20"/>
          <w:szCs w:val="20"/>
        </w:rPr>
        <w:t xml:space="preserve">.  Click </w:t>
      </w:r>
      <w:hyperlink r:id="rId14" w:history="1">
        <w:r w:rsidR="00B41588" w:rsidRPr="00B41588">
          <w:rPr>
            <w:rStyle w:val="Hyperlink"/>
            <w:rFonts w:ascii="Times New Roman" w:hAnsi="Times New Roman" w:cs="Times New Roman"/>
            <w:sz w:val="20"/>
            <w:szCs w:val="20"/>
          </w:rPr>
          <w:t>here</w:t>
        </w:r>
      </w:hyperlink>
      <w:r w:rsidR="00B41588">
        <w:rPr>
          <w:rFonts w:ascii="Times New Roman" w:hAnsi="Times New Roman" w:cs="Times New Roman"/>
          <w:sz w:val="20"/>
          <w:szCs w:val="20"/>
        </w:rPr>
        <w:t xml:space="preserve"> to access/download the DoD Mandatory Course Fulfillment Form (DD 2518).</w:t>
      </w:r>
      <w:r w:rsidR="004652CF">
        <w:rPr>
          <w:rFonts w:ascii="Times New Roman" w:hAnsi="Times New Roman" w:cs="Times New Roman"/>
          <w:sz w:val="20"/>
          <w:szCs w:val="20"/>
        </w:rPr>
        <w:t xml:space="preserve"> Note:  </w:t>
      </w:r>
      <w:r w:rsidR="004652CF" w:rsidRPr="00C60AD2">
        <w:rPr>
          <w:rFonts w:ascii="Times New Roman" w:hAnsi="Times New Roman" w:cs="Times New Roman"/>
          <w:sz w:val="20"/>
          <w:szCs w:val="20"/>
        </w:rPr>
        <w:t>Most SYSCOMs have established SOPs for fulfillment packages and approvals.  Contact your DAWIA POC for guidance.  If you are not assigned to a command with a DAWIA POC, contact the eDACM help desk for assistance</w:t>
      </w:r>
      <w:r w:rsidR="004652CF">
        <w:rPr>
          <w:rFonts w:ascii="Times New Roman" w:hAnsi="Times New Roman" w:cs="Times New Roman"/>
          <w:sz w:val="20"/>
          <w:szCs w:val="20"/>
        </w:rPr>
        <w:t>.</w:t>
      </w:r>
    </w:p>
    <w:p w:rsidR="00397A8A" w:rsidRPr="00C60AD2" w:rsidRDefault="00397A8A" w:rsidP="00397A8A">
      <w:pPr>
        <w:pStyle w:val="ListParagraph"/>
        <w:rPr>
          <w:rFonts w:ascii="Times New Roman" w:hAnsi="Times New Roman" w:cs="Times New Roman"/>
          <w:sz w:val="20"/>
          <w:szCs w:val="20"/>
        </w:rPr>
      </w:pPr>
    </w:p>
    <w:p w:rsidR="001B7DDF" w:rsidRPr="00C60AD2" w:rsidRDefault="0083644D" w:rsidP="00E436A4">
      <w:pPr>
        <w:pStyle w:val="ListParagraph"/>
        <w:numPr>
          <w:ilvl w:val="0"/>
          <w:numId w:val="2"/>
        </w:numPr>
        <w:rPr>
          <w:rFonts w:ascii="Times New Roman" w:hAnsi="Times New Roman" w:cs="Times New Roman"/>
          <w:sz w:val="20"/>
          <w:szCs w:val="20"/>
        </w:rPr>
      </w:pPr>
      <w:r w:rsidRPr="00C60AD2">
        <w:rPr>
          <w:rFonts w:ascii="Times New Roman" w:hAnsi="Times New Roman" w:cs="Times New Roman"/>
          <w:sz w:val="20"/>
          <w:szCs w:val="20"/>
          <w:u w:val="single"/>
        </w:rPr>
        <w:t>Equivalencies</w:t>
      </w:r>
      <w:r w:rsidRPr="00C60AD2">
        <w:rPr>
          <w:rFonts w:ascii="Times New Roman" w:hAnsi="Times New Roman" w:cs="Times New Roman"/>
          <w:sz w:val="20"/>
          <w:szCs w:val="20"/>
        </w:rPr>
        <w:t xml:space="preserve"> –</w:t>
      </w:r>
      <w:r w:rsidR="00397A8A" w:rsidRPr="00C60AD2">
        <w:rPr>
          <w:rFonts w:ascii="Times New Roman" w:hAnsi="Times New Roman" w:cs="Times New Roman"/>
          <w:sz w:val="20"/>
          <w:szCs w:val="20"/>
        </w:rPr>
        <w:t xml:space="preserve"> </w:t>
      </w:r>
      <w:r w:rsidR="009457DD">
        <w:rPr>
          <w:rFonts w:ascii="Times New Roman" w:hAnsi="Times New Roman" w:cs="Times New Roman"/>
          <w:sz w:val="20"/>
          <w:szCs w:val="20"/>
        </w:rPr>
        <w:t xml:space="preserve">DAU manages its course equivalency program.  </w:t>
      </w:r>
      <w:r w:rsidRPr="00C60AD2">
        <w:rPr>
          <w:rFonts w:ascii="Times New Roman" w:hAnsi="Times New Roman" w:cs="Times New Roman"/>
          <w:sz w:val="20"/>
          <w:szCs w:val="20"/>
        </w:rPr>
        <w:t xml:space="preserve">If you </w:t>
      </w:r>
      <w:r w:rsidR="00FB55B6" w:rsidRPr="00C60AD2">
        <w:rPr>
          <w:rFonts w:ascii="Times New Roman" w:hAnsi="Times New Roman" w:cs="Times New Roman"/>
          <w:sz w:val="20"/>
          <w:szCs w:val="20"/>
        </w:rPr>
        <w:t xml:space="preserve">believe you have completed </w:t>
      </w:r>
      <w:r w:rsidR="00397A8A" w:rsidRPr="00C60AD2">
        <w:rPr>
          <w:rFonts w:ascii="Times New Roman" w:hAnsi="Times New Roman" w:cs="Times New Roman"/>
          <w:sz w:val="20"/>
          <w:szCs w:val="20"/>
        </w:rPr>
        <w:t xml:space="preserve">DAU </w:t>
      </w:r>
      <w:r w:rsidR="00FB55B6" w:rsidRPr="00C60AD2">
        <w:rPr>
          <w:rFonts w:ascii="Times New Roman" w:hAnsi="Times New Roman" w:cs="Times New Roman"/>
          <w:sz w:val="20"/>
          <w:szCs w:val="20"/>
        </w:rPr>
        <w:t xml:space="preserve">equivalent training, </w:t>
      </w:r>
      <w:r w:rsidR="00397A8A" w:rsidRPr="00C60AD2">
        <w:rPr>
          <w:rFonts w:ascii="Times New Roman" w:hAnsi="Times New Roman" w:cs="Times New Roman"/>
          <w:sz w:val="20"/>
          <w:szCs w:val="20"/>
        </w:rPr>
        <w:t>review</w:t>
      </w:r>
      <w:r w:rsidRPr="00C60AD2">
        <w:rPr>
          <w:rFonts w:ascii="Times New Roman" w:hAnsi="Times New Roman" w:cs="Times New Roman"/>
          <w:sz w:val="20"/>
          <w:szCs w:val="20"/>
        </w:rPr>
        <w:t xml:space="preserve"> </w:t>
      </w:r>
      <w:hyperlink r:id="rId15" w:history="1">
        <w:r w:rsidRPr="00965484">
          <w:rPr>
            <w:rStyle w:val="Hyperlink"/>
            <w:rFonts w:ascii="Times New Roman" w:hAnsi="Times New Roman" w:cs="Times New Roman"/>
            <w:sz w:val="20"/>
            <w:szCs w:val="20"/>
          </w:rPr>
          <w:t>DAU’s current Equivalency Guide</w:t>
        </w:r>
      </w:hyperlink>
      <w:r w:rsidR="009F363E" w:rsidRPr="00C60AD2">
        <w:rPr>
          <w:rFonts w:ascii="Times New Roman" w:hAnsi="Times New Roman" w:cs="Times New Roman"/>
          <w:sz w:val="20"/>
          <w:szCs w:val="20"/>
        </w:rPr>
        <w:t xml:space="preserve">.  If the </w:t>
      </w:r>
      <w:r w:rsidR="002272EA" w:rsidRPr="00C60AD2">
        <w:rPr>
          <w:rFonts w:ascii="Times New Roman" w:hAnsi="Times New Roman" w:cs="Times New Roman"/>
          <w:sz w:val="20"/>
          <w:szCs w:val="20"/>
        </w:rPr>
        <w:t xml:space="preserve">provider and </w:t>
      </w:r>
      <w:r w:rsidR="009F363E" w:rsidRPr="00C60AD2">
        <w:rPr>
          <w:rFonts w:ascii="Times New Roman" w:hAnsi="Times New Roman" w:cs="Times New Roman"/>
          <w:sz w:val="20"/>
          <w:szCs w:val="20"/>
        </w:rPr>
        <w:t>course is</w:t>
      </w:r>
      <w:r w:rsidR="004B08FA" w:rsidRPr="00C60AD2">
        <w:rPr>
          <w:rFonts w:ascii="Times New Roman" w:hAnsi="Times New Roman" w:cs="Times New Roman"/>
          <w:sz w:val="20"/>
          <w:szCs w:val="20"/>
        </w:rPr>
        <w:t xml:space="preserve"> listed, and </w:t>
      </w:r>
      <w:r w:rsidR="009457DD">
        <w:rPr>
          <w:rFonts w:ascii="Times New Roman" w:hAnsi="Times New Roman" w:cs="Times New Roman"/>
          <w:sz w:val="20"/>
          <w:szCs w:val="20"/>
        </w:rPr>
        <w:t xml:space="preserve">the </w:t>
      </w:r>
      <w:r w:rsidR="004652CF">
        <w:rPr>
          <w:rFonts w:ascii="Times New Roman" w:hAnsi="Times New Roman" w:cs="Times New Roman"/>
          <w:sz w:val="20"/>
          <w:szCs w:val="20"/>
        </w:rPr>
        <w:t xml:space="preserve">training or academic </w:t>
      </w:r>
      <w:r w:rsidR="00C60AD2" w:rsidRPr="00C60AD2">
        <w:rPr>
          <w:rFonts w:ascii="Times New Roman" w:hAnsi="Times New Roman" w:cs="Times New Roman"/>
          <w:sz w:val="20"/>
          <w:szCs w:val="20"/>
        </w:rPr>
        <w:t xml:space="preserve">program courses were </w:t>
      </w:r>
      <w:r w:rsidR="004B08FA" w:rsidRPr="00C60AD2">
        <w:rPr>
          <w:rFonts w:ascii="Times New Roman" w:hAnsi="Times New Roman" w:cs="Times New Roman"/>
          <w:sz w:val="20"/>
          <w:szCs w:val="20"/>
        </w:rPr>
        <w:t>completed during the specified timeframes, offi</w:t>
      </w:r>
      <w:r w:rsidR="009457DD">
        <w:rPr>
          <w:rFonts w:ascii="Times New Roman" w:hAnsi="Times New Roman" w:cs="Times New Roman"/>
          <w:sz w:val="20"/>
          <w:szCs w:val="20"/>
        </w:rPr>
        <w:t xml:space="preserve">cers may submit an eDACM ticket </w:t>
      </w:r>
      <w:r w:rsidR="00C60AD2" w:rsidRPr="00C60AD2">
        <w:rPr>
          <w:rFonts w:ascii="Times New Roman" w:hAnsi="Times New Roman" w:cs="Times New Roman"/>
          <w:sz w:val="20"/>
          <w:szCs w:val="20"/>
        </w:rPr>
        <w:t>for equivalency credit</w:t>
      </w:r>
      <w:r w:rsidR="009457DD">
        <w:rPr>
          <w:rFonts w:ascii="Times New Roman" w:hAnsi="Times New Roman" w:cs="Times New Roman"/>
          <w:sz w:val="20"/>
          <w:szCs w:val="20"/>
        </w:rPr>
        <w:t xml:space="preserve">. Upload </w:t>
      </w:r>
      <w:r w:rsidR="00C60AD2" w:rsidRPr="00C60AD2">
        <w:rPr>
          <w:rFonts w:ascii="Times New Roman" w:hAnsi="Times New Roman" w:cs="Times New Roman"/>
          <w:sz w:val="20"/>
          <w:szCs w:val="20"/>
        </w:rPr>
        <w:t xml:space="preserve">a copy of the course certificate or college transcript.  </w:t>
      </w:r>
      <w:r w:rsidR="00B41588">
        <w:rPr>
          <w:rFonts w:ascii="Times New Roman" w:hAnsi="Times New Roman" w:cs="Times New Roman"/>
          <w:sz w:val="20"/>
          <w:szCs w:val="20"/>
        </w:rPr>
        <w:t>Be</w:t>
      </w:r>
      <w:r w:rsidR="00C60AD2" w:rsidRPr="00C60AD2">
        <w:rPr>
          <w:rFonts w:ascii="Times New Roman" w:hAnsi="Times New Roman" w:cs="Times New Roman"/>
          <w:sz w:val="20"/>
          <w:szCs w:val="20"/>
        </w:rPr>
        <w:t xml:space="preserve"> sure to include: </w:t>
      </w:r>
    </w:p>
    <w:p w:rsidR="00285798" w:rsidRPr="00285798" w:rsidRDefault="00285798" w:rsidP="00A10D02">
      <w:pPr>
        <w:spacing w:after="120" w:line="240" w:lineRule="auto"/>
        <w:ind w:left="1440"/>
        <w:rPr>
          <w:rFonts w:ascii="Times New Roman" w:hAnsi="Times New Roman" w:cs="Times New Roman"/>
          <w:sz w:val="20"/>
          <w:szCs w:val="20"/>
        </w:rPr>
      </w:pPr>
      <w:r w:rsidRPr="00285798">
        <w:rPr>
          <w:rFonts w:ascii="Times New Roman" w:hAnsi="Times New Roman" w:cs="Times New Roman"/>
          <w:sz w:val="20"/>
          <w:szCs w:val="20"/>
        </w:rPr>
        <w:t xml:space="preserve">Training Provider:  </w:t>
      </w:r>
      <w:r>
        <w:rPr>
          <w:rFonts w:ascii="Times New Roman" w:hAnsi="Times New Roman" w:cs="Times New Roman"/>
          <w:sz w:val="20"/>
          <w:szCs w:val="20"/>
        </w:rPr>
        <w:tab/>
      </w:r>
      <w:r w:rsidRPr="00285798">
        <w:rPr>
          <w:rFonts w:ascii="Times New Roman" w:hAnsi="Times New Roman" w:cs="Times New Roman"/>
          <w:sz w:val="20"/>
          <w:szCs w:val="20"/>
        </w:rPr>
        <w:t>Naval Post Graduate School</w:t>
      </w:r>
      <w:r w:rsidR="00C60AD2">
        <w:rPr>
          <w:rFonts w:ascii="Times New Roman" w:hAnsi="Times New Roman" w:cs="Times New Roman"/>
          <w:sz w:val="20"/>
          <w:szCs w:val="20"/>
        </w:rPr>
        <w:t xml:space="preserve"> (example only)</w:t>
      </w:r>
    </w:p>
    <w:p w:rsidR="00285798" w:rsidRPr="00285798" w:rsidRDefault="00285798" w:rsidP="00A10D02">
      <w:pPr>
        <w:spacing w:after="120" w:line="240" w:lineRule="auto"/>
        <w:ind w:left="1440"/>
        <w:rPr>
          <w:rFonts w:ascii="Times New Roman" w:hAnsi="Times New Roman" w:cs="Times New Roman"/>
          <w:sz w:val="20"/>
          <w:szCs w:val="20"/>
        </w:rPr>
      </w:pPr>
      <w:r w:rsidRPr="00285798">
        <w:rPr>
          <w:rFonts w:ascii="Times New Roman" w:hAnsi="Times New Roman" w:cs="Times New Roman"/>
          <w:sz w:val="20"/>
          <w:szCs w:val="20"/>
        </w:rPr>
        <w:t>Course(s):</w:t>
      </w:r>
      <w:r w:rsidRPr="00285798">
        <w:rPr>
          <w:rFonts w:ascii="Times New Roman" w:hAnsi="Times New Roman" w:cs="Times New Roman"/>
          <w:sz w:val="20"/>
          <w:szCs w:val="20"/>
        </w:rPr>
        <w:tab/>
      </w:r>
      <w:r w:rsidRPr="00285798">
        <w:rPr>
          <w:rFonts w:ascii="Times New Roman" w:hAnsi="Times New Roman" w:cs="Times New Roman"/>
          <w:sz w:val="20"/>
          <w:szCs w:val="20"/>
        </w:rPr>
        <w:tab/>
        <w:t>List NPS courses</w:t>
      </w:r>
    </w:p>
    <w:p w:rsidR="00285798" w:rsidRDefault="00285798" w:rsidP="00A10D02">
      <w:pPr>
        <w:spacing w:after="120" w:line="240" w:lineRule="auto"/>
        <w:ind w:left="1440"/>
        <w:rPr>
          <w:rFonts w:ascii="Times New Roman" w:hAnsi="Times New Roman" w:cs="Times New Roman"/>
          <w:sz w:val="20"/>
          <w:szCs w:val="20"/>
        </w:rPr>
      </w:pPr>
      <w:r w:rsidRPr="00285798">
        <w:rPr>
          <w:rFonts w:ascii="Times New Roman" w:hAnsi="Times New Roman" w:cs="Times New Roman"/>
          <w:sz w:val="20"/>
          <w:szCs w:val="20"/>
        </w:rPr>
        <w:t>DAU course(s):</w:t>
      </w:r>
      <w:r w:rsidRPr="00285798">
        <w:rPr>
          <w:rFonts w:ascii="Times New Roman" w:hAnsi="Times New Roman" w:cs="Times New Roman"/>
          <w:sz w:val="20"/>
          <w:szCs w:val="20"/>
        </w:rPr>
        <w:tab/>
      </w:r>
      <w:r>
        <w:rPr>
          <w:rFonts w:ascii="Times New Roman" w:hAnsi="Times New Roman" w:cs="Times New Roman"/>
          <w:sz w:val="20"/>
          <w:szCs w:val="20"/>
        </w:rPr>
        <w:tab/>
      </w:r>
      <w:r w:rsidRPr="00285798">
        <w:rPr>
          <w:rFonts w:ascii="Times New Roman" w:hAnsi="Times New Roman" w:cs="Times New Roman"/>
          <w:sz w:val="20"/>
          <w:szCs w:val="20"/>
        </w:rPr>
        <w:t>ACQ XXX</w:t>
      </w:r>
      <w:r w:rsidR="00616A09">
        <w:rPr>
          <w:rFonts w:ascii="Times New Roman" w:hAnsi="Times New Roman" w:cs="Times New Roman"/>
          <w:sz w:val="20"/>
          <w:szCs w:val="20"/>
        </w:rPr>
        <w:t>X, PMT</w:t>
      </w:r>
      <w:r w:rsidRPr="00285798">
        <w:rPr>
          <w:rFonts w:ascii="Times New Roman" w:hAnsi="Times New Roman" w:cs="Times New Roman"/>
          <w:sz w:val="20"/>
          <w:szCs w:val="20"/>
        </w:rPr>
        <w:t xml:space="preserve"> XXX</w:t>
      </w:r>
      <w:r w:rsidR="00616A09">
        <w:rPr>
          <w:rFonts w:ascii="Times New Roman" w:hAnsi="Times New Roman" w:cs="Times New Roman"/>
          <w:sz w:val="20"/>
          <w:szCs w:val="20"/>
        </w:rPr>
        <w:t>X</w:t>
      </w:r>
    </w:p>
    <w:p w:rsidR="00C60AD2" w:rsidRDefault="00C60AD2" w:rsidP="00A10D02">
      <w:pPr>
        <w:spacing w:after="120" w:line="240" w:lineRule="auto"/>
        <w:ind w:left="1440"/>
        <w:rPr>
          <w:rFonts w:ascii="Times New Roman" w:hAnsi="Times New Roman" w:cs="Times New Roman"/>
          <w:sz w:val="20"/>
          <w:szCs w:val="20"/>
        </w:rPr>
      </w:pPr>
    </w:p>
    <w:p w:rsidR="00C60AD2" w:rsidRPr="009457DD" w:rsidRDefault="00C60AD2" w:rsidP="00C60AD2">
      <w:pPr>
        <w:pStyle w:val="ListParagraph"/>
        <w:numPr>
          <w:ilvl w:val="0"/>
          <w:numId w:val="5"/>
        </w:numPr>
        <w:rPr>
          <w:rFonts w:ascii="Times New Roman" w:hAnsi="Times New Roman" w:cs="Times New Roman"/>
          <w:b/>
          <w:sz w:val="24"/>
          <w:szCs w:val="24"/>
        </w:rPr>
      </w:pPr>
      <w:r w:rsidRPr="009457DD">
        <w:rPr>
          <w:rFonts w:ascii="Times New Roman" w:hAnsi="Times New Roman" w:cs="Times New Roman"/>
          <w:b/>
          <w:sz w:val="24"/>
          <w:szCs w:val="24"/>
        </w:rPr>
        <w:t xml:space="preserve">I am pursuing an acquisition career track.  How </w:t>
      </w:r>
      <w:r w:rsidR="004652CF">
        <w:rPr>
          <w:rFonts w:ascii="Times New Roman" w:hAnsi="Times New Roman" w:cs="Times New Roman"/>
          <w:b/>
          <w:sz w:val="24"/>
          <w:szCs w:val="24"/>
        </w:rPr>
        <w:t>can acquisition experience be co</w:t>
      </w:r>
      <w:r w:rsidRPr="009457DD">
        <w:rPr>
          <w:rFonts w:ascii="Times New Roman" w:hAnsi="Times New Roman" w:cs="Times New Roman"/>
          <w:b/>
          <w:sz w:val="24"/>
          <w:szCs w:val="24"/>
        </w:rPr>
        <w:t xml:space="preserve">unted if my billet is not designated acquisition? </w:t>
      </w:r>
    </w:p>
    <w:p w:rsidR="00C60AD2" w:rsidRPr="0000525D" w:rsidRDefault="00C60AD2" w:rsidP="00C60AD2">
      <w:pPr>
        <w:rPr>
          <w:rFonts w:ascii="Times New Roman" w:hAnsi="Times New Roman" w:cs="Times New Roman"/>
          <w:sz w:val="24"/>
          <w:szCs w:val="24"/>
        </w:rPr>
      </w:pPr>
      <w:r w:rsidRPr="0000525D">
        <w:rPr>
          <w:rFonts w:ascii="Times New Roman" w:hAnsi="Times New Roman" w:cs="Times New Roman"/>
          <w:sz w:val="24"/>
          <w:szCs w:val="24"/>
        </w:rPr>
        <w:t xml:space="preserve">Officers may acquire acquisition-related experience in several ways.  The most common is when an assignment is aligned to “Big A” acquisition programs or efforts, but the preponderance of billet duties </w:t>
      </w:r>
      <w:r w:rsidR="00B41588">
        <w:rPr>
          <w:rFonts w:ascii="Times New Roman" w:hAnsi="Times New Roman" w:cs="Times New Roman"/>
          <w:sz w:val="24"/>
          <w:szCs w:val="24"/>
        </w:rPr>
        <w:t xml:space="preserve">were not deemed sufficient for acquisition coding.  </w:t>
      </w:r>
      <w:r>
        <w:rPr>
          <w:rFonts w:ascii="Times New Roman" w:hAnsi="Times New Roman" w:cs="Times New Roman"/>
          <w:sz w:val="24"/>
          <w:szCs w:val="24"/>
        </w:rPr>
        <w:t>In most cases, 50% of that time may be creditable for acquisition</w:t>
      </w:r>
      <w:r w:rsidR="00B41588">
        <w:rPr>
          <w:rFonts w:ascii="Times New Roman" w:hAnsi="Times New Roman" w:cs="Times New Roman"/>
          <w:sz w:val="24"/>
          <w:szCs w:val="24"/>
        </w:rPr>
        <w:t xml:space="preserve">-related </w:t>
      </w:r>
      <w:r>
        <w:rPr>
          <w:rFonts w:ascii="Times New Roman" w:hAnsi="Times New Roman" w:cs="Times New Roman"/>
          <w:sz w:val="24"/>
          <w:szCs w:val="24"/>
        </w:rPr>
        <w:t xml:space="preserve">experience.  Officers should </w:t>
      </w:r>
      <w:r w:rsidRPr="0000525D">
        <w:rPr>
          <w:rFonts w:ascii="Times New Roman" w:hAnsi="Times New Roman" w:cs="Times New Roman"/>
          <w:sz w:val="24"/>
          <w:szCs w:val="24"/>
        </w:rPr>
        <w:t xml:space="preserve">discuss experience </w:t>
      </w:r>
      <w:r w:rsidR="00B41588">
        <w:rPr>
          <w:rFonts w:ascii="Times New Roman" w:hAnsi="Times New Roman" w:cs="Times New Roman"/>
          <w:sz w:val="24"/>
          <w:szCs w:val="24"/>
        </w:rPr>
        <w:t xml:space="preserve">crediting </w:t>
      </w:r>
      <w:r w:rsidRPr="0000525D">
        <w:rPr>
          <w:rFonts w:ascii="Times New Roman" w:hAnsi="Times New Roman" w:cs="Times New Roman"/>
          <w:sz w:val="24"/>
          <w:szCs w:val="24"/>
        </w:rPr>
        <w:t>with their O</w:t>
      </w:r>
      <w:r>
        <w:rPr>
          <w:rFonts w:ascii="Times New Roman" w:hAnsi="Times New Roman" w:cs="Times New Roman"/>
          <w:sz w:val="24"/>
          <w:szCs w:val="24"/>
        </w:rPr>
        <w:t xml:space="preserve">CM </w:t>
      </w:r>
      <w:r w:rsidRPr="00C60AD2">
        <w:rPr>
          <w:rFonts w:ascii="Times New Roman" w:hAnsi="Times New Roman" w:cs="Times New Roman"/>
          <w:sz w:val="24"/>
          <w:szCs w:val="24"/>
          <w:u w:val="single"/>
        </w:rPr>
        <w:t>before</w:t>
      </w:r>
      <w:r w:rsidRPr="0000525D">
        <w:rPr>
          <w:rFonts w:ascii="Times New Roman" w:hAnsi="Times New Roman" w:cs="Times New Roman"/>
          <w:sz w:val="24"/>
          <w:szCs w:val="24"/>
        </w:rPr>
        <w:t xml:space="preserve"> pursuing any DAWIA qualifications. </w:t>
      </w:r>
    </w:p>
    <w:p w:rsidR="00C60AD2" w:rsidRDefault="00C60AD2" w:rsidP="00C60AD2">
      <w:pPr>
        <w:rPr>
          <w:rFonts w:ascii="Times New Roman" w:hAnsi="Times New Roman" w:cs="Times New Roman"/>
          <w:sz w:val="24"/>
          <w:szCs w:val="24"/>
        </w:rPr>
      </w:pPr>
      <w:r w:rsidRPr="0000525D">
        <w:rPr>
          <w:rFonts w:ascii="Times New Roman" w:hAnsi="Times New Roman" w:cs="Times New Roman"/>
          <w:sz w:val="24"/>
          <w:szCs w:val="24"/>
        </w:rPr>
        <w:t xml:space="preserve">Recommended:  Review the </w:t>
      </w:r>
      <w:hyperlink r:id="rId16" w:history="1">
        <w:r w:rsidRPr="009457DD">
          <w:rPr>
            <w:rStyle w:val="Hyperlink"/>
            <w:rFonts w:ascii="Times New Roman" w:hAnsi="Times New Roman" w:cs="Times New Roman"/>
            <w:sz w:val="24"/>
            <w:szCs w:val="24"/>
          </w:rPr>
          <w:t>DoD Acquisition Position Category Description</w:t>
        </w:r>
      </w:hyperlink>
      <w:r w:rsidRPr="0000525D">
        <w:rPr>
          <w:rFonts w:ascii="Times New Roman" w:hAnsi="Times New Roman" w:cs="Times New Roman"/>
          <w:sz w:val="24"/>
          <w:szCs w:val="24"/>
        </w:rPr>
        <w:t xml:space="preserve"> (PCD) and current </w:t>
      </w:r>
      <w:r w:rsidR="004652CF">
        <w:rPr>
          <w:rFonts w:ascii="Times New Roman" w:hAnsi="Times New Roman" w:cs="Times New Roman"/>
          <w:sz w:val="24"/>
          <w:szCs w:val="24"/>
        </w:rPr>
        <w:t xml:space="preserve">functional area </w:t>
      </w:r>
      <w:r>
        <w:rPr>
          <w:rFonts w:ascii="Times New Roman" w:hAnsi="Times New Roman" w:cs="Times New Roman"/>
          <w:sz w:val="24"/>
          <w:szCs w:val="24"/>
        </w:rPr>
        <w:t>certification s</w:t>
      </w:r>
      <w:r w:rsidRPr="0000525D">
        <w:rPr>
          <w:rFonts w:ascii="Times New Roman" w:hAnsi="Times New Roman" w:cs="Times New Roman"/>
          <w:sz w:val="24"/>
          <w:szCs w:val="24"/>
        </w:rPr>
        <w:t>tandards</w:t>
      </w:r>
      <w:r>
        <w:rPr>
          <w:rFonts w:ascii="Times New Roman" w:hAnsi="Times New Roman" w:cs="Times New Roman"/>
          <w:sz w:val="24"/>
          <w:szCs w:val="24"/>
        </w:rPr>
        <w:t xml:space="preserve"> before attempting to request certification.</w:t>
      </w:r>
    </w:p>
    <w:p w:rsidR="00482F82" w:rsidRPr="00B41588" w:rsidRDefault="00B41588" w:rsidP="00482F82">
      <w:pPr>
        <w:pStyle w:val="ListParagraph"/>
        <w:numPr>
          <w:ilvl w:val="0"/>
          <w:numId w:val="5"/>
        </w:numPr>
        <w:rPr>
          <w:rFonts w:ascii="Times New Roman" w:hAnsi="Times New Roman" w:cs="Times New Roman"/>
          <w:b/>
          <w:sz w:val="24"/>
          <w:szCs w:val="24"/>
        </w:rPr>
      </w:pPr>
      <w:r w:rsidRPr="00B41588">
        <w:rPr>
          <w:rFonts w:ascii="Times New Roman" w:hAnsi="Times New Roman" w:cs="Times New Roman"/>
          <w:b/>
          <w:sz w:val="24"/>
          <w:szCs w:val="24"/>
        </w:rPr>
        <w:t>May I apply for c</w:t>
      </w:r>
      <w:r w:rsidR="00482F82" w:rsidRPr="00B41588">
        <w:rPr>
          <w:rFonts w:ascii="Times New Roman" w:hAnsi="Times New Roman" w:cs="Times New Roman"/>
          <w:b/>
          <w:sz w:val="24"/>
          <w:szCs w:val="24"/>
        </w:rPr>
        <w:t>ertification</w:t>
      </w:r>
      <w:r w:rsidRPr="00B41588">
        <w:rPr>
          <w:rFonts w:ascii="Times New Roman" w:hAnsi="Times New Roman" w:cs="Times New Roman"/>
          <w:b/>
          <w:sz w:val="24"/>
          <w:szCs w:val="24"/>
        </w:rPr>
        <w:t xml:space="preserve"> if I’m not currently in an acquisition billet</w:t>
      </w:r>
      <w:r w:rsidR="00482F82" w:rsidRPr="00B41588">
        <w:rPr>
          <w:rFonts w:ascii="Times New Roman" w:hAnsi="Times New Roman" w:cs="Times New Roman"/>
          <w:b/>
          <w:sz w:val="24"/>
          <w:szCs w:val="24"/>
        </w:rPr>
        <w:t>?</w:t>
      </w:r>
    </w:p>
    <w:p w:rsidR="00B41588" w:rsidRPr="003F0A6E" w:rsidRDefault="00B41588" w:rsidP="00B41588">
      <w:pPr>
        <w:pStyle w:val="ListParagraph"/>
        <w:ind w:left="360"/>
        <w:rPr>
          <w:rFonts w:ascii="Times New Roman" w:hAnsi="Times New Roman" w:cs="Times New Roman"/>
          <w:b/>
          <w:sz w:val="24"/>
          <w:szCs w:val="24"/>
          <w:highlight w:val="yellow"/>
        </w:rPr>
      </w:pPr>
    </w:p>
    <w:p w:rsidR="00A6101B" w:rsidRDefault="00965484" w:rsidP="00A6101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Officers not currently assigned to a coded billet, but in an acquisition </w:t>
      </w:r>
      <w:r w:rsidR="00A6101B">
        <w:rPr>
          <w:rFonts w:ascii="Times New Roman" w:hAnsi="Times New Roman" w:cs="Times New Roman"/>
          <w:sz w:val="24"/>
          <w:szCs w:val="24"/>
        </w:rPr>
        <w:t xml:space="preserve">career track may use eDACM to request certification </w:t>
      </w:r>
      <w:r w:rsidR="00A6101B" w:rsidRPr="00E2143D">
        <w:rPr>
          <w:rFonts w:ascii="Times New Roman" w:hAnsi="Times New Roman" w:cs="Times New Roman"/>
          <w:sz w:val="24"/>
          <w:szCs w:val="24"/>
          <w:u w:val="single"/>
        </w:rPr>
        <w:t>under the following conditions</w:t>
      </w:r>
      <w:r w:rsidR="00A6101B">
        <w:rPr>
          <w:rFonts w:ascii="Times New Roman" w:hAnsi="Times New Roman" w:cs="Times New Roman"/>
          <w:sz w:val="24"/>
          <w:szCs w:val="24"/>
        </w:rPr>
        <w:t xml:space="preserve">: </w:t>
      </w:r>
    </w:p>
    <w:p w:rsidR="00A6101B" w:rsidRPr="00A6101B" w:rsidRDefault="00A6101B" w:rsidP="00A6101B">
      <w:pPr>
        <w:pStyle w:val="ListParagraph"/>
        <w:ind w:left="0"/>
        <w:rPr>
          <w:rFonts w:ascii="Times New Roman" w:hAnsi="Times New Roman" w:cs="Times New Roman"/>
          <w:sz w:val="20"/>
          <w:szCs w:val="20"/>
        </w:rPr>
      </w:pPr>
    </w:p>
    <w:p w:rsidR="00482F82" w:rsidRPr="00BD6A2F" w:rsidRDefault="00482F82" w:rsidP="00482F82">
      <w:pPr>
        <w:pStyle w:val="ListParagraph"/>
        <w:numPr>
          <w:ilvl w:val="0"/>
          <w:numId w:val="4"/>
        </w:numPr>
        <w:rPr>
          <w:rFonts w:ascii="Times New Roman" w:hAnsi="Times New Roman" w:cs="Times New Roman"/>
        </w:rPr>
      </w:pPr>
      <w:r w:rsidRPr="00BD6A2F">
        <w:rPr>
          <w:rFonts w:ascii="Times New Roman" w:hAnsi="Times New Roman" w:cs="Times New Roman"/>
        </w:rPr>
        <w:t xml:space="preserve">Officer previously served in an acquisition billet and still meets the current experience, education </w:t>
      </w:r>
      <w:r w:rsidR="004652CF" w:rsidRPr="00BD6A2F">
        <w:rPr>
          <w:rFonts w:ascii="Times New Roman" w:hAnsi="Times New Roman" w:cs="Times New Roman"/>
        </w:rPr>
        <w:t>and</w:t>
      </w:r>
      <w:r w:rsidRPr="00BD6A2F">
        <w:rPr>
          <w:rFonts w:ascii="Times New Roman" w:hAnsi="Times New Roman" w:cs="Times New Roman"/>
        </w:rPr>
        <w:t xml:space="preserve"> training standards, but was unable to complete the certification </w:t>
      </w:r>
      <w:r w:rsidR="00A6101B" w:rsidRPr="00BD6A2F">
        <w:rPr>
          <w:rFonts w:ascii="Times New Roman" w:hAnsi="Times New Roman" w:cs="Times New Roman"/>
        </w:rPr>
        <w:t xml:space="preserve">request </w:t>
      </w:r>
      <w:r w:rsidRPr="00BD6A2F">
        <w:rPr>
          <w:rFonts w:ascii="Times New Roman" w:hAnsi="Times New Roman" w:cs="Times New Roman"/>
        </w:rPr>
        <w:t>process during th</w:t>
      </w:r>
      <w:r w:rsidR="002272EA" w:rsidRPr="00BD6A2F">
        <w:rPr>
          <w:rFonts w:ascii="Times New Roman" w:hAnsi="Times New Roman" w:cs="Times New Roman"/>
        </w:rPr>
        <w:t>e acquisition</w:t>
      </w:r>
      <w:r w:rsidRPr="00BD6A2F">
        <w:rPr>
          <w:rFonts w:ascii="Times New Roman" w:hAnsi="Times New Roman" w:cs="Times New Roman"/>
        </w:rPr>
        <w:t xml:space="preserve"> tour.  </w:t>
      </w:r>
    </w:p>
    <w:p w:rsidR="00482F82" w:rsidRPr="00BD6A2F" w:rsidRDefault="00482F82" w:rsidP="00482F82">
      <w:pPr>
        <w:pStyle w:val="ListParagraph"/>
        <w:numPr>
          <w:ilvl w:val="0"/>
          <w:numId w:val="4"/>
        </w:numPr>
        <w:rPr>
          <w:rFonts w:ascii="Times New Roman" w:hAnsi="Times New Roman" w:cs="Times New Roman"/>
        </w:rPr>
      </w:pPr>
      <w:r w:rsidRPr="00BD6A2F">
        <w:rPr>
          <w:rFonts w:ascii="Times New Roman" w:hAnsi="Times New Roman" w:cs="Times New Roman"/>
        </w:rPr>
        <w:t xml:space="preserve">Officer is </w:t>
      </w:r>
      <w:proofErr w:type="spellStart"/>
      <w:r w:rsidRPr="00BD6A2F">
        <w:rPr>
          <w:rFonts w:ascii="Times New Roman" w:hAnsi="Times New Roman" w:cs="Times New Roman"/>
        </w:rPr>
        <w:t>enroute</w:t>
      </w:r>
      <w:proofErr w:type="spellEnd"/>
      <w:r w:rsidRPr="00BD6A2F">
        <w:rPr>
          <w:rFonts w:ascii="Times New Roman" w:hAnsi="Times New Roman" w:cs="Times New Roman"/>
        </w:rPr>
        <w:t xml:space="preserve"> to an acquisition billet (orders in hand) and </w:t>
      </w:r>
      <w:r w:rsidR="00A6101B" w:rsidRPr="00BD6A2F">
        <w:rPr>
          <w:rFonts w:ascii="Times New Roman" w:hAnsi="Times New Roman" w:cs="Times New Roman"/>
        </w:rPr>
        <w:t xml:space="preserve">the individual </w:t>
      </w:r>
      <w:r w:rsidRPr="00BD6A2F">
        <w:rPr>
          <w:rFonts w:ascii="Times New Roman" w:hAnsi="Times New Roman" w:cs="Times New Roman"/>
        </w:rPr>
        <w:t xml:space="preserve">meets the current core experience, education &amp; training standards.  </w:t>
      </w:r>
    </w:p>
    <w:p w:rsidR="002272EA" w:rsidRPr="005B0381" w:rsidRDefault="002272EA" w:rsidP="002272EA">
      <w:pPr>
        <w:pStyle w:val="ListParagraph"/>
        <w:rPr>
          <w:rFonts w:ascii="Times New Roman" w:hAnsi="Times New Roman" w:cs="Times New Roman"/>
          <w:sz w:val="24"/>
          <w:szCs w:val="24"/>
        </w:rPr>
      </w:pPr>
    </w:p>
    <w:p w:rsidR="00F27B91" w:rsidRPr="004652CF" w:rsidRDefault="00F27B91" w:rsidP="00F27B91">
      <w:pPr>
        <w:pStyle w:val="ListParagraph"/>
        <w:numPr>
          <w:ilvl w:val="0"/>
          <w:numId w:val="5"/>
        </w:numPr>
        <w:rPr>
          <w:rFonts w:ascii="Times New Roman" w:hAnsi="Times New Roman" w:cs="Times New Roman"/>
          <w:b/>
          <w:sz w:val="24"/>
          <w:szCs w:val="24"/>
        </w:rPr>
      </w:pPr>
      <w:r w:rsidRPr="004652CF">
        <w:rPr>
          <w:rFonts w:ascii="Times New Roman" w:hAnsi="Times New Roman" w:cs="Times New Roman"/>
          <w:b/>
          <w:sz w:val="24"/>
          <w:szCs w:val="24"/>
        </w:rPr>
        <w:t xml:space="preserve">How does the education for experience substitution benefit me? </w:t>
      </w:r>
    </w:p>
    <w:p w:rsidR="00F27B91" w:rsidRDefault="00F27B91" w:rsidP="00F27B91">
      <w:pPr>
        <w:pStyle w:val="ListParagraph"/>
        <w:ind w:left="360"/>
        <w:rPr>
          <w:rFonts w:ascii="Times New Roman" w:hAnsi="Times New Roman" w:cs="Times New Roman"/>
          <w:b/>
          <w:sz w:val="24"/>
          <w:szCs w:val="24"/>
        </w:rPr>
      </w:pPr>
    </w:p>
    <w:p w:rsidR="00F27B91" w:rsidRDefault="004652CF" w:rsidP="00397A8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table on page 3 of this Guide illustrates </w:t>
      </w:r>
      <w:r w:rsidR="00EB52B4">
        <w:rPr>
          <w:rFonts w:ascii="Times New Roman" w:hAnsi="Times New Roman" w:cs="Times New Roman"/>
          <w:sz w:val="24"/>
          <w:szCs w:val="24"/>
        </w:rPr>
        <w:t>when</w:t>
      </w:r>
      <w:r>
        <w:rPr>
          <w:rFonts w:ascii="Times New Roman" w:hAnsi="Times New Roman" w:cs="Times New Roman"/>
          <w:sz w:val="24"/>
          <w:szCs w:val="24"/>
        </w:rPr>
        <w:t xml:space="preserve"> education may be leveraged to acquire up to 12 months of </w:t>
      </w:r>
      <w:r w:rsidR="00EB52B4">
        <w:rPr>
          <w:rFonts w:ascii="Times New Roman" w:hAnsi="Times New Roman" w:cs="Times New Roman"/>
          <w:sz w:val="24"/>
          <w:szCs w:val="24"/>
        </w:rPr>
        <w:t>acquisition</w:t>
      </w:r>
      <w:r>
        <w:rPr>
          <w:rFonts w:ascii="Times New Roman" w:hAnsi="Times New Roman" w:cs="Times New Roman"/>
          <w:sz w:val="24"/>
          <w:szCs w:val="24"/>
        </w:rPr>
        <w:t xml:space="preserve"> experience, </w:t>
      </w:r>
      <w:r w:rsidR="00EB52B4">
        <w:rPr>
          <w:rFonts w:ascii="Times New Roman" w:hAnsi="Times New Roman" w:cs="Times New Roman"/>
          <w:sz w:val="24"/>
          <w:szCs w:val="24"/>
        </w:rPr>
        <w:t>i</w:t>
      </w:r>
      <w:r>
        <w:rPr>
          <w:rFonts w:ascii="Times New Roman" w:hAnsi="Times New Roman" w:cs="Times New Roman"/>
          <w:sz w:val="24"/>
          <w:szCs w:val="24"/>
        </w:rPr>
        <w:t xml:space="preserve">f needed to satisfy a functional area certification or </w:t>
      </w:r>
      <w:r w:rsidR="00397A8A" w:rsidRPr="00397A8A">
        <w:rPr>
          <w:rFonts w:ascii="Times New Roman" w:hAnsi="Times New Roman" w:cs="Times New Roman"/>
          <w:sz w:val="24"/>
          <w:szCs w:val="24"/>
        </w:rPr>
        <w:t>a request for Acquisition Professional Membership (APM).</w:t>
      </w:r>
    </w:p>
    <w:p w:rsidR="00A10D02" w:rsidRDefault="00A10D02" w:rsidP="00F27B91">
      <w:pPr>
        <w:pStyle w:val="ListParagraph"/>
        <w:ind w:left="0"/>
        <w:rPr>
          <w:rFonts w:ascii="Times New Roman" w:hAnsi="Times New Roman" w:cs="Times New Roman"/>
          <w:sz w:val="24"/>
          <w:szCs w:val="24"/>
        </w:rPr>
      </w:pPr>
    </w:p>
    <w:p w:rsidR="00A10D02" w:rsidRDefault="00A10D02" w:rsidP="00F27B9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Academic </w:t>
      </w:r>
      <w:r w:rsidR="00EB52B4">
        <w:rPr>
          <w:rFonts w:ascii="Times New Roman" w:hAnsi="Times New Roman" w:cs="Times New Roman"/>
          <w:sz w:val="24"/>
          <w:szCs w:val="24"/>
        </w:rPr>
        <w:t xml:space="preserve">credentials are typically verifiable outside the eDACM system.  </w:t>
      </w:r>
      <w:r w:rsidR="006811B9">
        <w:rPr>
          <w:rFonts w:ascii="Times New Roman" w:hAnsi="Times New Roman" w:cs="Times New Roman"/>
          <w:sz w:val="24"/>
          <w:szCs w:val="24"/>
        </w:rPr>
        <w:t xml:space="preserve">Do </w:t>
      </w:r>
      <w:r w:rsidR="00EB52B4" w:rsidRPr="006811B9">
        <w:rPr>
          <w:rFonts w:ascii="Times New Roman" w:hAnsi="Times New Roman" w:cs="Times New Roman"/>
          <w:sz w:val="24"/>
          <w:szCs w:val="24"/>
          <w:u w:val="single"/>
        </w:rPr>
        <w:t>not</w:t>
      </w:r>
      <w:r w:rsidR="00EB52B4">
        <w:rPr>
          <w:rFonts w:ascii="Times New Roman" w:hAnsi="Times New Roman" w:cs="Times New Roman"/>
          <w:sz w:val="24"/>
          <w:szCs w:val="24"/>
        </w:rPr>
        <w:t xml:space="preserve"> submit requests for the education/experience substitution in the eDACM experience module.  </w:t>
      </w:r>
      <w:r>
        <w:rPr>
          <w:rFonts w:ascii="Times New Roman" w:hAnsi="Times New Roman" w:cs="Times New Roman"/>
          <w:sz w:val="24"/>
          <w:szCs w:val="24"/>
        </w:rPr>
        <w:t>If degree information is not displayed on eDACM, but an officer wishes to leverage th</w:t>
      </w:r>
      <w:r w:rsidR="0021377B">
        <w:rPr>
          <w:rFonts w:ascii="Times New Roman" w:hAnsi="Times New Roman" w:cs="Times New Roman"/>
          <w:sz w:val="24"/>
          <w:szCs w:val="24"/>
        </w:rPr>
        <w:t xml:space="preserve">is </w:t>
      </w:r>
      <w:r>
        <w:rPr>
          <w:rFonts w:ascii="Times New Roman" w:hAnsi="Times New Roman" w:cs="Times New Roman"/>
          <w:sz w:val="24"/>
          <w:szCs w:val="24"/>
        </w:rPr>
        <w:t xml:space="preserve">option for </w:t>
      </w:r>
      <w:r w:rsidRPr="0021377B">
        <w:rPr>
          <w:rFonts w:ascii="Times New Roman" w:hAnsi="Times New Roman" w:cs="Times New Roman"/>
          <w:sz w:val="24"/>
          <w:szCs w:val="24"/>
          <w:u w:val="single"/>
        </w:rPr>
        <w:t>one</w:t>
      </w:r>
      <w:r>
        <w:rPr>
          <w:rFonts w:ascii="Times New Roman" w:hAnsi="Times New Roman" w:cs="Times New Roman"/>
          <w:sz w:val="24"/>
          <w:szCs w:val="24"/>
        </w:rPr>
        <w:t xml:space="preserve"> certification request</w:t>
      </w:r>
      <w:r w:rsidR="006811B9">
        <w:rPr>
          <w:rFonts w:ascii="Times New Roman" w:hAnsi="Times New Roman" w:cs="Times New Roman"/>
          <w:sz w:val="24"/>
          <w:szCs w:val="24"/>
        </w:rPr>
        <w:t>, or to support an APM request</w:t>
      </w:r>
      <w:r>
        <w:rPr>
          <w:rFonts w:ascii="Times New Roman" w:hAnsi="Times New Roman" w:cs="Times New Roman"/>
          <w:sz w:val="24"/>
          <w:szCs w:val="24"/>
        </w:rPr>
        <w:t xml:space="preserve">, a copy of college transcripts </w:t>
      </w:r>
      <w:r w:rsidR="00EB52B4">
        <w:rPr>
          <w:rFonts w:ascii="Times New Roman" w:hAnsi="Times New Roman" w:cs="Times New Roman"/>
          <w:sz w:val="24"/>
          <w:szCs w:val="24"/>
        </w:rPr>
        <w:t xml:space="preserve">should </w:t>
      </w:r>
      <w:r>
        <w:rPr>
          <w:rFonts w:ascii="Times New Roman" w:hAnsi="Times New Roman" w:cs="Times New Roman"/>
          <w:sz w:val="24"/>
          <w:szCs w:val="24"/>
        </w:rPr>
        <w:t>be uploaded during the certification</w:t>
      </w:r>
      <w:r w:rsidR="0021377B">
        <w:rPr>
          <w:rFonts w:ascii="Times New Roman" w:hAnsi="Times New Roman" w:cs="Times New Roman"/>
          <w:sz w:val="24"/>
          <w:szCs w:val="24"/>
        </w:rPr>
        <w:t xml:space="preserve"> or APM</w:t>
      </w:r>
      <w:r>
        <w:rPr>
          <w:rFonts w:ascii="Times New Roman" w:hAnsi="Times New Roman" w:cs="Times New Roman"/>
          <w:sz w:val="24"/>
          <w:szCs w:val="24"/>
        </w:rPr>
        <w:t xml:space="preserve"> request process.  </w:t>
      </w:r>
    </w:p>
    <w:p w:rsidR="006F25C2" w:rsidRDefault="006F25C2" w:rsidP="00F27B91">
      <w:pPr>
        <w:pStyle w:val="ListParagraph"/>
        <w:ind w:left="0"/>
        <w:rPr>
          <w:rFonts w:ascii="Times New Roman" w:hAnsi="Times New Roman" w:cs="Times New Roman"/>
          <w:sz w:val="24"/>
          <w:szCs w:val="24"/>
        </w:rPr>
      </w:pPr>
    </w:p>
    <w:p w:rsidR="006F25C2" w:rsidRDefault="006F25C2" w:rsidP="006F25C2">
      <w:pPr>
        <w:pStyle w:val="ListParagraph"/>
        <w:ind w:left="0"/>
        <w:rPr>
          <w:rFonts w:ascii="Times New Roman" w:hAnsi="Times New Roman" w:cs="Times New Roman"/>
          <w:b/>
          <w:sz w:val="24"/>
          <w:szCs w:val="24"/>
        </w:rPr>
      </w:pPr>
      <w:r>
        <w:rPr>
          <w:rFonts w:ascii="Times New Roman" w:hAnsi="Times New Roman" w:cs="Times New Roman"/>
          <w:sz w:val="24"/>
          <w:szCs w:val="24"/>
        </w:rPr>
        <w:t xml:space="preserve">6.   </w:t>
      </w:r>
      <w:r>
        <w:rPr>
          <w:rFonts w:ascii="Times New Roman" w:hAnsi="Times New Roman" w:cs="Times New Roman"/>
          <w:b/>
          <w:sz w:val="24"/>
          <w:szCs w:val="24"/>
        </w:rPr>
        <w:t>How do I count experience for the Program Management (PM) Functional Area?</w:t>
      </w:r>
    </w:p>
    <w:p w:rsidR="006F25C2" w:rsidRDefault="006F25C2" w:rsidP="006F25C2">
      <w:pPr>
        <w:pStyle w:val="ListParagraph"/>
        <w:ind w:left="0"/>
        <w:rPr>
          <w:rFonts w:ascii="Times New Roman" w:hAnsi="Times New Roman" w:cs="Times New Roman"/>
          <w:b/>
          <w:sz w:val="24"/>
          <w:szCs w:val="24"/>
        </w:rPr>
      </w:pPr>
    </w:p>
    <w:p w:rsidR="006F25C2" w:rsidRDefault="006F25C2" w:rsidP="006F25C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w:t>
      </w:r>
      <w:r w:rsidR="00AD0A27">
        <w:rPr>
          <w:rFonts w:ascii="Times New Roman" w:hAnsi="Times New Roman" w:cs="Times New Roman"/>
          <w:sz w:val="24"/>
          <w:szCs w:val="24"/>
        </w:rPr>
        <w:t xml:space="preserve">DON </w:t>
      </w:r>
      <w:r>
        <w:rPr>
          <w:rFonts w:ascii="Times New Roman" w:hAnsi="Times New Roman" w:cs="Times New Roman"/>
          <w:sz w:val="24"/>
          <w:szCs w:val="24"/>
        </w:rPr>
        <w:t xml:space="preserve">PM National Leads signed a memo in April 2022 permitting personnel in </w:t>
      </w:r>
      <w:r>
        <w:rPr>
          <w:rFonts w:ascii="Times New Roman" w:hAnsi="Times New Roman" w:cs="Times New Roman"/>
          <w:b/>
          <w:sz w:val="24"/>
          <w:szCs w:val="24"/>
        </w:rPr>
        <w:t>PM-coded positions only</w:t>
      </w:r>
      <w:r>
        <w:rPr>
          <w:rFonts w:ascii="Times New Roman" w:hAnsi="Times New Roman" w:cs="Times New Roman"/>
          <w:sz w:val="24"/>
          <w:szCs w:val="24"/>
        </w:rPr>
        <w:t xml:space="preserve"> to count prior acquisition experience in other functional areas as credit toward the experience requirements for certification in both PM tiers (Practitioner and Advanced). This includes experience gained from legacy career fields such as PQM, IT and S&amp;TM. The 24-month program office requirement for PM Advanced is a separate requirement and can only be earned for time in a PEO, PMA, PMS, PMW, PMM, IWS, SUPSHIP, PMR, MDA, or NRO. </w:t>
      </w:r>
    </w:p>
    <w:p w:rsidR="006F25C2" w:rsidRPr="00F27B91" w:rsidRDefault="006F25C2" w:rsidP="00F27B91">
      <w:pPr>
        <w:pStyle w:val="ListParagraph"/>
        <w:ind w:left="0"/>
        <w:rPr>
          <w:rFonts w:ascii="Times New Roman" w:hAnsi="Times New Roman" w:cs="Times New Roman"/>
          <w:sz w:val="24"/>
          <w:szCs w:val="24"/>
        </w:rPr>
      </w:pPr>
      <w:bookmarkStart w:id="0" w:name="_GoBack"/>
      <w:bookmarkEnd w:id="0"/>
    </w:p>
    <w:p w:rsidR="00197EDF" w:rsidRPr="00A10D02" w:rsidRDefault="002D1CE9" w:rsidP="00482F82">
      <w:pPr>
        <w:jc w:val="center"/>
        <w:rPr>
          <w:rFonts w:ascii="Times New Roman" w:hAnsi="Times New Roman" w:cs="Times New Roman"/>
          <w:b/>
          <w:sz w:val="24"/>
          <w:szCs w:val="24"/>
        </w:rPr>
      </w:pPr>
      <w:r w:rsidRPr="00EB52B4">
        <w:rPr>
          <w:rFonts w:ascii="Times New Roman" w:hAnsi="Times New Roman" w:cs="Times New Roman"/>
          <w:b/>
          <w:sz w:val="24"/>
          <w:szCs w:val="24"/>
        </w:rPr>
        <w:t>R</w:t>
      </w:r>
      <w:r w:rsidR="007B7ABF" w:rsidRPr="00EB52B4">
        <w:rPr>
          <w:rFonts w:ascii="Times New Roman" w:hAnsi="Times New Roman" w:cs="Times New Roman"/>
          <w:b/>
          <w:sz w:val="24"/>
          <w:szCs w:val="24"/>
        </w:rPr>
        <w:t>esources</w:t>
      </w:r>
    </w:p>
    <w:p w:rsidR="00230E38" w:rsidRDefault="00EB52B4" w:rsidP="007B7ABF">
      <w:pPr>
        <w:rPr>
          <w:rFonts w:ascii="Times New Roman" w:hAnsi="Times New Roman" w:cs="Times New Roman"/>
          <w:sz w:val="24"/>
          <w:szCs w:val="24"/>
        </w:rPr>
      </w:pPr>
      <w:r>
        <w:rPr>
          <w:rFonts w:ascii="Times New Roman" w:hAnsi="Times New Roman" w:cs="Times New Roman"/>
          <w:sz w:val="24"/>
          <w:szCs w:val="24"/>
        </w:rPr>
        <w:t xml:space="preserve">Consult your Acquisition OCM for career planning and advice.  </w:t>
      </w:r>
      <w:r w:rsidR="00230E38">
        <w:rPr>
          <w:rFonts w:ascii="Times New Roman" w:hAnsi="Times New Roman" w:cs="Times New Roman"/>
          <w:sz w:val="24"/>
          <w:szCs w:val="24"/>
        </w:rPr>
        <w:t xml:space="preserve">Command </w:t>
      </w:r>
      <w:r>
        <w:rPr>
          <w:rFonts w:ascii="Times New Roman" w:hAnsi="Times New Roman" w:cs="Times New Roman"/>
          <w:sz w:val="24"/>
          <w:szCs w:val="24"/>
        </w:rPr>
        <w:t xml:space="preserve">DAWIA </w:t>
      </w:r>
      <w:r w:rsidR="00230E38">
        <w:rPr>
          <w:rFonts w:ascii="Times New Roman" w:hAnsi="Times New Roman" w:cs="Times New Roman"/>
          <w:sz w:val="24"/>
          <w:szCs w:val="24"/>
        </w:rPr>
        <w:t>poin</w:t>
      </w:r>
      <w:r>
        <w:rPr>
          <w:rFonts w:ascii="Times New Roman" w:hAnsi="Times New Roman" w:cs="Times New Roman"/>
          <w:sz w:val="24"/>
          <w:szCs w:val="24"/>
        </w:rPr>
        <w:t xml:space="preserve">ts of contact are displayed on your </w:t>
      </w:r>
      <w:r w:rsidR="00230E38">
        <w:rPr>
          <w:rFonts w:ascii="Times New Roman" w:hAnsi="Times New Roman" w:cs="Times New Roman"/>
          <w:sz w:val="24"/>
          <w:szCs w:val="24"/>
        </w:rPr>
        <w:t xml:space="preserve">eDACM DAWIA transcripts.  </w:t>
      </w:r>
    </w:p>
    <w:p w:rsidR="00E2143D" w:rsidRDefault="00EB52B4" w:rsidP="00E2143D">
      <w:pPr>
        <w:rPr>
          <w:rFonts w:ascii="Times New Roman" w:hAnsi="Times New Roman" w:cs="Times New Roman"/>
          <w:sz w:val="24"/>
          <w:szCs w:val="24"/>
        </w:rPr>
      </w:pPr>
      <w:r>
        <w:rPr>
          <w:rFonts w:ascii="Times New Roman" w:hAnsi="Times New Roman" w:cs="Times New Roman"/>
          <w:sz w:val="24"/>
          <w:szCs w:val="24"/>
        </w:rPr>
        <w:t xml:space="preserve">This QRG is published at:  </w:t>
      </w:r>
      <w:r w:rsidR="00E2143D">
        <w:rPr>
          <w:rFonts w:ascii="Times New Roman" w:hAnsi="Times New Roman" w:cs="Times New Roman"/>
          <w:sz w:val="24"/>
          <w:szCs w:val="24"/>
        </w:rPr>
        <w:t>Officer Detailing&gt;Acquisition</w:t>
      </w:r>
    </w:p>
    <w:p w:rsidR="00E2143D" w:rsidRDefault="00AD0A27" w:rsidP="00E2143D">
      <w:pPr>
        <w:rPr>
          <w:rStyle w:val="Hyperlink"/>
          <w:rFonts w:ascii="Times New Roman" w:hAnsi="Times New Roman" w:cs="Times New Roman"/>
          <w:sz w:val="24"/>
          <w:szCs w:val="24"/>
        </w:rPr>
      </w:pPr>
      <w:hyperlink r:id="rId17" w:history="1">
        <w:r w:rsidR="00E2143D" w:rsidRPr="004E095A">
          <w:rPr>
            <w:rStyle w:val="Hyperlink"/>
            <w:rFonts w:ascii="Times New Roman" w:hAnsi="Times New Roman" w:cs="Times New Roman"/>
            <w:sz w:val="24"/>
            <w:szCs w:val="24"/>
          </w:rPr>
          <w:t>https://www.mynavyhr.navy.mil/Career-Management/Detailing/Officer/Acquisition/</w:t>
        </w:r>
      </w:hyperlink>
    </w:p>
    <w:p w:rsidR="00403EE8" w:rsidRDefault="00403EE8" w:rsidP="00E2143D">
      <w:pPr>
        <w:rPr>
          <w:rStyle w:val="Hyperlink"/>
          <w:rFonts w:ascii="Times New Roman" w:hAnsi="Times New Roman" w:cs="Times New Roman"/>
        </w:rPr>
      </w:pPr>
      <w:r w:rsidRPr="00403EE8">
        <w:rPr>
          <w:rFonts w:ascii="Times New Roman" w:hAnsi="Times New Roman" w:cs="Times New Roman"/>
        </w:rPr>
        <w:t xml:space="preserve">The DON DAWIA Operating Guide may viewed and downloaded from </w:t>
      </w:r>
      <w:hyperlink r:id="rId18" w:history="1">
        <w:r w:rsidRPr="00403EE8">
          <w:rPr>
            <w:rStyle w:val="Hyperlink"/>
            <w:rFonts w:ascii="Times New Roman" w:hAnsi="Times New Roman" w:cs="Times New Roman"/>
          </w:rPr>
          <w:t>eDACM</w:t>
        </w:r>
      </w:hyperlink>
    </w:p>
    <w:p w:rsidR="00A31528" w:rsidRDefault="004D7E37">
      <w:pPr>
        <w:rPr>
          <w:rFonts w:ascii="Times New Roman" w:hAnsi="Times New Roman" w:cs="Times New Roman"/>
          <w:sz w:val="24"/>
          <w:szCs w:val="24"/>
        </w:rPr>
      </w:pPr>
      <w:r>
        <w:rPr>
          <w:rFonts w:ascii="Times New Roman" w:hAnsi="Times New Roman" w:cs="Times New Roman"/>
          <w:sz w:val="24"/>
          <w:szCs w:val="24"/>
        </w:rPr>
        <w:t>The Acquisition Officer QRG is maintained by the ASN (RD&amp;A) Director of Acquisition Talent Management (DATM) military liaison, 1000 Navy Pentagon, R</w:t>
      </w:r>
      <w:r w:rsidR="006F25C2">
        <w:rPr>
          <w:rFonts w:ascii="Times New Roman" w:hAnsi="Times New Roman" w:cs="Times New Roman"/>
          <w:sz w:val="24"/>
          <w:szCs w:val="24"/>
        </w:rPr>
        <w:t>m BF-992, Washington, DC 20350.</w:t>
      </w:r>
    </w:p>
    <w:sectPr w:rsidR="00A3152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08" w:rsidRDefault="00C71008" w:rsidP="0000525D">
      <w:pPr>
        <w:spacing w:after="0" w:line="240" w:lineRule="auto"/>
      </w:pPr>
      <w:r>
        <w:separator/>
      </w:r>
    </w:p>
  </w:endnote>
  <w:endnote w:type="continuationSeparator" w:id="0">
    <w:p w:rsidR="00C71008" w:rsidRDefault="00C71008" w:rsidP="0000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40942"/>
      <w:docPartObj>
        <w:docPartGallery w:val="Page Numbers (Bottom of Page)"/>
        <w:docPartUnique/>
      </w:docPartObj>
    </w:sdtPr>
    <w:sdtEndPr>
      <w:rPr>
        <w:noProof/>
      </w:rPr>
    </w:sdtEndPr>
    <w:sdtContent>
      <w:p w:rsidR="004528F8" w:rsidRDefault="004528F8">
        <w:pPr>
          <w:pStyle w:val="Footer"/>
          <w:jc w:val="right"/>
        </w:pPr>
        <w:r>
          <w:fldChar w:fldCharType="begin"/>
        </w:r>
        <w:r>
          <w:instrText xml:space="preserve"> PAGE   \* MERGEFORMAT </w:instrText>
        </w:r>
        <w:r>
          <w:fldChar w:fldCharType="separate"/>
        </w:r>
        <w:r w:rsidR="00AD0A27">
          <w:rPr>
            <w:noProof/>
          </w:rPr>
          <w:t>4</w:t>
        </w:r>
        <w:r>
          <w:rPr>
            <w:noProof/>
          </w:rPr>
          <w:fldChar w:fldCharType="end"/>
        </w:r>
      </w:p>
    </w:sdtContent>
  </w:sdt>
  <w:p w:rsidR="00A31528" w:rsidRDefault="00A31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08" w:rsidRDefault="00C71008" w:rsidP="0000525D">
      <w:pPr>
        <w:spacing w:after="0" w:line="240" w:lineRule="auto"/>
      </w:pPr>
      <w:r>
        <w:separator/>
      </w:r>
    </w:p>
  </w:footnote>
  <w:footnote w:type="continuationSeparator" w:id="0">
    <w:p w:rsidR="00C71008" w:rsidRDefault="00C71008" w:rsidP="0000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5D" w:rsidRDefault="008F6F58" w:rsidP="00A31528">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Acquisition </w:t>
    </w:r>
    <w:r w:rsidR="00A31528" w:rsidRPr="00A31528">
      <w:rPr>
        <w:rFonts w:ascii="Times New Roman" w:hAnsi="Times New Roman" w:cs="Times New Roman"/>
        <w:b/>
        <w:sz w:val="28"/>
        <w:szCs w:val="28"/>
      </w:rPr>
      <w:t xml:space="preserve">Officer Quick Reference Guide </w:t>
    </w:r>
    <w:r w:rsidR="004528F8">
      <w:rPr>
        <w:rFonts w:ascii="Times New Roman" w:hAnsi="Times New Roman" w:cs="Times New Roman"/>
        <w:b/>
        <w:sz w:val="28"/>
        <w:szCs w:val="28"/>
      </w:rPr>
      <w:t>–</w:t>
    </w:r>
    <w:r w:rsidR="00A31528" w:rsidRPr="00A31528">
      <w:rPr>
        <w:rFonts w:ascii="Times New Roman" w:hAnsi="Times New Roman" w:cs="Times New Roman"/>
        <w:b/>
        <w:sz w:val="28"/>
        <w:szCs w:val="28"/>
      </w:rPr>
      <w:t>DAWIA</w:t>
    </w:r>
  </w:p>
  <w:p w:rsidR="004528F8" w:rsidRPr="004528F8" w:rsidRDefault="006F25C2" w:rsidP="00A31528">
    <w:pPr>
      <w:pStyle w:val="Header"/>
      <w:jc w:val="center"/>
      <w:rPr>
        <w:rFonts w:ascii="Times New Roman" w:hAnsi="Times New Roman" w:cs="Times New Roman"/>
        <w:b/>
        <w:sz w:val="16"/>
        <w:szCs w:val="16"/>
      </w:rPr>
    </w:pPr>
    <w:r>
      <w:rPr>
        <w:rFonts w:ascii="Times New Roman" w:hAnsi="Times New Roman" w:cs="Times New Roman"/>
        <w:b/>
        <w:sz w:val="16"/>
        <w:szCs w:val="16"/>
      </w:rPr>
      <w:t>V5</w:t>
    </w:r>
    <w:r w:rsidR="004528F8" w:rsidRPr="004528F8">
      <w:rPr>
        <w:rFonts w:ascii="Times New Roman" w:hAnsi="Times New Roman" w:cs="Times New Roman"/>
        <w:b/>
        <w:sz w:val="16"/>
        <w:szCs w:val="16"/>
      </w:rPr>
      <w:t xml:space="preserve"> </w:t>
    </w:r>
    <w:r w:rsidR="004D7E37">
      <w:rPr>
        <w:rFonts w:ascii="Times New Roman" w:hAnsi="Times New Roman" w:cs="Times New Roman"/>
        <w:b/>
        <w:sz w:val="16"/>
        <w:szCs w:val="16"/>
      </w:rPr>
      <w:t>Sep</w:t>
    </w:r>
    <w:r w:rsidR="00257E59">
      <w:rPr>
        <w:rFonts w:ascii="Times New Roman" w:hAnsi="Times New Roman" w:cs="Times New Roman"/>
        <w:b/>
        <w:sz w:val="16"/>
        <w:szCs w:val="16"/>
      </w:rPr>
      <w:t xml:space="preserve"> </w:t>
    </w:r>
    <w:r w:rsidR="004528F8" w:rsidRPr="004528F8">
      <w:rPr>
        <w:rFonts w:ascii="Times New Roman" w:hAnsi="Times New Roman" w:cs="Times New Roman"/>
        <w:b/>
        <w:sz w:val="16"/>
        <w:szCs w:val="16"/>
      </w:rPr>
      <w:t>202</w:t>
    </w:r>
    <w:r w:rsidR="00C962E2">
      <w:rPr>
        <w:rFonts w:ascii="Times New Roman" w:hAnsi="Times New Roman" w:cs="Times New Roman"/>
        <w:b/>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3F2"/>
    <w:multiLevelType w:val="hybridMultilevel"/>
    <w:tmpl w:val="0C70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0473"/>
    <w:multiLevelType w:val="hybridMultilevel"/>
    <w:tmpl w:val="9448227A"/>
    <w:lvl w:ilvl="0" w:tplc="9300D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D0D1B"/>
    <w:multiLevelType w:val="hybridMultilevel"/>
    <w:tmpl w:val="C0983BC0"/>
    <w:lvl w:ilvl="0" w:tplc="4E78B274">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3" w15:restartNumberingAfterBreak="0">
    <w:nsid w:val="1F42538F"/>
    <w:multiLevelType w:val="hybridMultilevel"/>
    <w:tmpl w:val="A8F0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E5177"/>
    <w:multiLevelType w:val="hybridMultilevel"/>
    <w:tmpl w:val="66F09DA8"/>
    <w:lvl w:ilvl="0" w:tplc="4B9AEA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8229E6"/>
    <w:multiLevelType w:val="hybridMultilevel"/>
    <w:tmpl w:val="82A8CE44"/>
    <w:lvl w:ilvl="0" w:tplc="C6D0C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F45E7"/>
    <w:multiLevelType w:val="hybridMultilevel"/>
    <w:tmpl w:val="F80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52AB9"/>
    <w:multiLevelType w:val="hybridMultilevel"/>
    <w:tmpl w:val="5214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3489A"/>
    <w:multiLevelType w:val="hybridMultilevel"/>
    <w:tmpl w:val="F168B78E"/>
    <w:lvl w:ilvl="0" w:tplc="04090005">
      <w:start w:val="1"/>
      <w:numFmt w:val="bullet"/>
      <w:lvlText w:val=""/>
      <w:lvlJc w:val="left"/>
      <w:pPr>
        <w:ind w:left="1259" w:hanging="360"/>
      </w:pPr>
      <w:rPr>
        <w:rFonts w:ascii="Wingdings" w:hAnsi="Wingdings"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9" w15:restartNumberingAfterBreak="0">
    <w:nsid w:val="54910D93"/>
    <w:multiLevelType w:val="hybridMultilevel"/>
    <w:tmpl w:val="EDF8C502"/>
    <w:lvl w:ilvl="0" w:tplc="84669B38">
      <w:start w:val="1"/>
      <w:numFmt w:val="bullet"/>
      <w:lvlText w:val="•"/>
      <w:lvlJc w:val="left"/>
      <w:pPr>
        <w:tabs>
          <w:tab w:val="num" w:pos="720"/>
        </w:tabs>
        <w:ind w:left="720" w:hanging="360"/>
      </w:pPr>
      <w:rPr>
        <w:rFonts w:ascii="Times New Roman" w:hAnsi="Times New Roman" w:hint="default"/>
      </w:rPr>
    </w:lvl>
    <w:lvl w:ilvl="1" w:tplc="2A4638B2" w:tentative="1">
      <w:start w:val="1"/>
      <w:numFmt w:val="bullet"/>
      <w:lvlText w:val="•"/>
      <w:lvlJc w:val="left"/>
      <w:pPr>
        <w:tabs>
          <w:tab w:val="num" w:pos="1440"/>
        </w:tabs>
        <w:ind w:left="1440" w:hanging="360"/>
      </w:pPr>
      <w:rPr>
        <w:rFonts w:ascii="Times New Roman" w:hAnsi="Times New Roman" w:hint="default"/>
      </w:rPr>
    </w:lvl>
    <w:lvl w:ilvl="2" w:tplc="6468533C" w:tentative="1">
      <w:start w:val="1"/>
      <w:numFmt w:val="bullet"/>
      <w:lvlText w:val="•"/>
      <w:lvlJc w:val="left"/>
      <w:pPr>
        <w:tabs>
          <w:tab w:val="num" w:pos="2160"/>
        </w:tabs>
        <w:ind w:left="2160" w:hanging="360"/>
      </w:pPr>
      <w:rPr>
        <w:rFonts w:ascii="Times New Roman" w:hAnsi="Times New Roman" w:hint="default"/>
      </w:rPr>
    </w:lvl>
    <w:lvl w:ilvl="3" w:tplc="79C8764A" w:tentative="1">
      <w:start w:val="1"/>
      <w:numFmt w:val="bullet"/>
      <w:lvlText w:val="•"/>
      <w:lvlJc w:val="left"/>
      <w:pPr>
        <w:tabs>
          <w:tab w:val="num" w:pos="2880"/>
        </w:tabs>
        <w:ind w:left="2880" w:hanging="360"/>
      </w:pPr>
      <w:rPr>
        <w:rFonts w:ascii="Times New Roman" w:hAnsi="Times New Roman" w:hint="default"/>
      </w:rPr>
    </w:lvl>
    <w:lvl w:ilvl="4" w:tplc="82F454B2" w:tentative="1">
      <w:start w:val="1"/>
      <w:numFmt w:val="bullet"/>
      <w:lvlText w:val="•"/>
      <w:lvlJc w:val="left"/>
      <w:pPr>
        <w:tabs>
          <w:tab w:val="num" w:pos="3600"/>
        </w:tabs>
        <w:ind w:left="3600" w:hanging="360"/>
      </w:pPr>
      <w:rPr>
        <w:rFonts w:ascii="Times New Roman" w:hAnsi="Times New Roman" w:hint="default"/>
      </w:rPr>
    </w:lvl>
    <w:lvl w:ilvl="5" w:tplc="B4C8DAA6" w:tentative="1">
      <w:start w:val="1"/>
      <w:numFmt w:val="bullet"/>
      <w:lvlText w:val="•"/>
      <w:lvlJc w:val="left"/>
      <w:pPr>
        <w:tabs>
          <w:tab w:val="num" w:pos="4320"/>
        </w:tabs>
        <w:ind w:left="4320" w:hanging="360"/>
      </w:pPr>
      <w:rPr>
        <w:rFonts w:ascii="Times New Roman" w:hAnsi="Times New Roman" w:hint="default"/>
      </w:rPr>
    </w:lvl>
    <w:lvl w:ilvl="6" w:tplc="91C6C6EA" w:tentative="1">
      <w:start w:val="1"/>
      <w:numFmt w:val="bullet"/>
      <w:lvlText w:val="•"/>
      <w:lvlJc w:val="left"/>
      <w:pPr>
        <w:tabs>
          <w:tab w:val="num" w:pos="5040"/>
        </w:tabs>
        <w:ind w:left="5040" w:hanging="360"/>
      </w:pPr>
      <w:rPr>
        <w:rFonts w:ascii="Times New Roman" w:hAnsi="Times New Roman" w:hint="default"/>
      </w:rPr>
    </w:lvl>
    <w:lvl w:ilvl="7" w:tplc="846EE232" w:tentative="1">
      <w:start w:val="1"/>
      <w:numFmt w:val="bullet"/>
      <w:lvlText w:val="•"/>
      <w:lvlJc w:val="left"/>
      <w:pPr>
        <w:tabs>
          <w:tab w:val="num" w:pos="5760"/>
        </w:tabs>
        <w:ind w:left="5760" w:hanging="360"/>
      </w:pPr>
      <w:rPr>
        <w:rFonts w:ascii="Times New Roman" w:hAnsi="Times New Roman" w:hint="default"/>
      </w:rPr>
    </w:lvl>
    <w:lvl w:ilvl="8" w:tplc="5C8AAA7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F115C1C"/>
    <w:multiLevelType w:val="hybridMultilevel"/>
    <w:tmpl w:val="D47658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4600CD"/>
    <w:multiLevelType w:val="hybridMultilevel"/>
    <w:tmpl w:val="DE54FDEC"/>
    <w:lvl w:ilvl="0" w:tplc="D9C03814">
      <w:start w:val="1"/>
      <w:numFmt w:val="bullet"/>
      <w:lvlText w:val="•"/>
      <w:lvlJc w:val="left"/>
      <w:pPr>
        <w:tabs>
          <w:tab w:val="num" w:pos="720"/>
        </w:tabs>
        <w:ind w:left="720" w:hanging="360"/>
      </w:pPr>
      <w:rPr>
        <w:rFonts w:ascii="Times New Roman" w:hAnsi="Times New Roman" w:hint="default"/>
      </w:rPr>
    </w:lvl>
    <w:lvl w:ilvl="1" w:tplc="A2BEED52" w:tentative="1">
      <w:start w:val="1"/>
      <w:numFmt w:val="bullet"/>
      <w:lvlText w:val="•"/>
      <w:lvlJc w:val="left"/>
      <w:pPr>
        <w:tabs>
          <w:tab w:val="num" w:pos="1440"/>
        </w:tabs>
        <w:ind w:left="1440" w:hanging="360"/>
      </w:pPr>
      <w:rPr>
        <w:rFonts w:ascii="Times New Roman" w:hAnsi="Times New Roman" w:hint="default"/>
      </w:rPr>
    </w:lvl>
    <w:lvl w:ilvl="2" w:tplc="FB8496DC" w:tentative="1">
      <w:start w:val="1"/>
      <w:numFmt w:val="bullet"/>
      <w:lvlText w:val="•"/>
      <w:lvlJc w:val="left"/>
      <w:pPr>
        <w:tabs>
          <w:tab w:val="num" w:pos="2160"/>
        </w:tabs>
        <w:ind w:left="2160" w:hanging="360"/>
      </w:pPr>
      <w:rPr>
        <w:rFonts w:ascii="Times New Roman" w:hAnsi="Times New Roman" w:hint="default"/>
      </w:rPr>
    </w:lvl>
    <w:lvl w:ilvl="3" w:tplc="0D4EDA84" w:tentative="1">
      <w:start w:val="1"/>
      <w:numFmt w:val="bullet"/>
      <w:lvlText w:val="•"/>
      <w:lvlJc w:val="left"/>
      <w:pPr>
        <w:tabs>
          <w:tab w:val="num" w:pos="2880"/>
        </w:tabs>
        <w:ind w:left="2880" w:hanging="360"/>
      </w:pPr>
      <w:rPr>
        <w:rFonts w:ascii="Times New Roman" w:hAnsi="Times New Roman" w:hint="default"/>
      </w:rPr>
    </w:lvl>
    <w:lvl w:ilvl="4" w:tplc="8B5A8E6C" w:tentative="1">
      <w:start w:val="1"/>
      <w:numFmt w:val="bullet"/>
      <w:lvlText w:val="•"/>
      <w:lvlJc w:val="left"/>
      <w:pPr>
        <w:tabs>
          <w:tab w:val="num" w:pos="3600"/>
        </w:tabs>
        <w:ind w:left="3600" w:hanging="360"/>
      </w:pPr>
      <w:rPr>
        <w:rFonts w:ascii="Times New Roman" w:hAnsi="Times New Roman" w:hint="default"/>
      </w:rPr>
    </w:lvl>
    <w:lvl w:ilvl="5" w:tplc="5EEC1798" w:tentative="1">
      <w:start w:val="1"/>
      <w:numFmt w:val="bullet"/>
      <w:lvlText w:val="•"/>
      <w:lvlJc w:val="left"/>
      <w:pPr>
        <w:tabs>
          <w:tab w:val="num" w:pos="4320"/>
        </w:tabs>
        <w:ind w:left="4320" w:hanging="360"/>
      </w:pPr>
      <w:rPr>
        <w:rFonts w:ascii="Times New Roman" w:hAnsi="Times New Roman" w:hint="default"/>
      </w:rPr>
    </w:lvl>
    <w:lvl w:ilvl="6" w:tplc="61404348" w:tentative="1">
      <w:start w:val="1"/>
      <w:numFmt w:val="bullet"/>
      <w:lvlText w:val="•"/>
      <w:lvlJc w:val="left"/>
      <w:pPr>
        <w:tabs>
          <w:tab w:val="num" w:pos="5040"/>
        </w:tabs>
        <w:ind w:left="5040" w:hanging="360"/>
      </w:pPr>
      <w:rPr>
        <w:rFonts w:ascii="Times New Roman" w:hAnsi="Times New Roman" w:hint="default"/>
      </w:rPr>
    </w:lvl>
    <w:lvl w:ilvl="7" w:tplc="AF0E3380" w:tentative="1">
      <w:start w:val="1"/>
      <w:numFmt w:val="bullet"/>
      <w:lvlText w:val="•"/>
      <w:lvlJc w:val="left"/>
      <w:pPr>
        <w:tabs>
          <w:tab w:val="num" w:pos="5760"/>
        </w:tabs>
        <w:ind w:left="5760" w:hanging="360"/>
      </w:pPr>
      <w:rPr>
        <w:rFonts w:ascii="Times New Roman" w:hAnsi="Times New Roman" w:hint="default"/>
      </w:rPr>
    </w:lvl>
    <w:lvl w:ilvl="8" w:tplc="0C14A27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35141C"/>
    <w:multiLevelType w:val="hybridMultilevel"/>
    <w:tmpl w:val="1A54617A"/>
    <w:lvl w:ilvl="0" w:tplc="4420D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
  </w:num>
  <w:num w:numId="5">
    <w:abstractNumId w:val="10"/>
  </w:num>
  <w:num w:numId="6">
    <w:abstractNumId w:val="11"/>
  </w:num>
  <w:num w:numId="7">
    <w:abstractNumId w:val="9"/>
  </w:num>
  <w:num w:numId="8">
    <w:abstractNumId w:val="7"/>
  </w:num>
  <w:num w:numId="9">
    <w:abstractNumId w:val="0"/>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DF"/>
    <w:rsid w:val="0000525D"/>
    <w:rsid w:val="00066EC4"/>
    <w:rsid w:val="00085B8E"/>
    <w:rsid w:val="000973AF"/>
    <w:rsid w:val="000A231E"/>
    <w:rsid w:val="000E6C32"/>
    <w:rsid w:val="001473CB"/>
    <w:rsid w:val="001657F0"/>
    <w:rsid w:val="00197EDF"/>
    <w:rsid w:val="001B7DDF"/>
    <w:rsid w:val="001C3E2C"/>
    <w:rsid w:val="001E6384"/>
    <w:rsid w:val="001F5C7D"/>
    <w:rsid w:val="001F6FEB"/>
    <w:rsid w:val="00205964"/>
    <w:rsid w:val="00211961"/>
    <w:rsid w:val="0021377B"/>
    <w:rsid w:val="00213790"/>
    <w:rsid w:val="002272EA"/>
    <w:rsid w:val="00230E38"/>
    <w:rsid w:val="002352BE"/>
    <w:rsid w:val="00257E59"/>
    <w:rsid w:val="002731FB"/>
    <w:rsid w:val="00277F82"/>
    <w:rsid w:val="00285798"/>
    <w:rsid w:val="002C455B"/>
    <w:rsid w:val="002D1CE9"/>
    <w:rsid w:val="003328E9"/>
    <w:rsid w:val="003613F6"/>
    <w:rsid w:val="0037307A"/>
    <w:rsid w:val="00390998"/>
    <w:rsid w:val="00397A8A"/>
    <w:rsid w:val="003C1D24"/>
    <w:rsid w:val="003F0A6E"/>
    <w:rsid w:val="003F534F"/>
    <w:rsid w:val="00403EE8"/>
    <w:rsid w:val="004264FC"/>
    <w:rsid w:val="004528F8"/>
    <w:rsid w:val="004652CF"/>
    <w:rsid w:val="00482F82"/>
    <w:rsid w:val="0049455E"/>
    <w:rsid w:val="0049754B"/>
    <w:rsid w:val="004A4A3A"/>
    <w:rsid w:val="004B08FA"/>
    <w:rsid w:val="004D7E37"/>
    <w:rsid w:val="004E1C21"/>
    <w:rsid w:val="0051296E"/>
    <w:rsid w:val="00520B43"/>
    <w:rsid w:val="005350B3"/>
    <w:rsid w:val="00535F13"/>
    <w:rsid w:val="00541213"/>
    <w:rsid w:val="00571411"/>
    <w:rsid w:val="00590F6C"/>
    <w:rsid w:val="005B0381"/>
    <w:rsid w:val="005C02EC"/>
    <w:rsid w:val="005C07C2"/>
    <w:rsid w:val="005C2A55"/>
    <w:rsid w:val="005C2D20"/>
    <w:rsid w:val="005D3825"/>
    <w:rsid w:val="005F3064"/>
    <w:rsid w:val="005F6B40"/>
    <w:rsid w:val="00602E9F"/>
    <w:rsid w:val="00616A09"/>
    <w:rsid w:val="006751A1"/>
    <w:rsid w:val="006811B9"/>
    <w:rsid w:val="006E13D0"/>
    <w:rsid w:val="006E2391"/>
    <w:rsid w:val="006F25C2"/>
    <w:rsid w:val="00720873"/>
    <w:rsid w:val="007536D2"/>
    <w:rsid w:val="00781C7D"/>
    <w:rsid w:val="00796F8B"/>
    <w:rsid w:val="007B7ABF"/>
    <w:rsid w:val="007E275E"/>
    <w:rsid w:val="007F42A8"/>
    <w:rsid w:val="00801102"/>
    <w:rsid w:val="0083644D"/>
    <w:rsid w:val="00866CB5"/>
    <w:rsid w:val="008726C1"/>
    <w:rsid w:val="00880061"/>
    <w:rsid w:val="0088523A"/>
    <w:rsid w:val="00895C2E"/>
    <w:rsid w:val="008D7A8C"/>
    <w:rsid w:val="008F6F58"/>
    <w:rsid w:val="00906BDD"/>
    <w:rsid w:val="00912582"/>
    <w:rsid w:val="0094324F"/>
    <w:rsid w:val="009457DD"/>
    <w:rsid w:val="009474A3"/>
    <w:rsid w:val="00960620"/>
    <w:rsid w:val="00965484"/>
    <w:rsid w:val="00981C14"/>
    <w:rsid w:val="009853BA"/>
    <w:rsid w:val="009A3C93"/>
    <w:rsid w:val="009D2371"/>
    <w:rsid w:val="009D5F46"/>
    <w:rsid w:val="009E488B"/>
    <w:rsid w:val="009F363E"/>
    <w:rsid w:val="00A006E0"/>
    <w:rsid w:val="00A0105A"/>
    <w:rsid w:val="00A10D02"/>
    <w:rsid w:val="00A231A7"/>
    <w:rsid w:val="00A25F68"/>
    <w:rsid w:val="00A31528"/>
    <w:rsid w:val="00A413BA"/>
    <w:rsid w:val="00A6101B"/>
    <w:rsid w:val="00A868E4"/>
    <w:rsid w:val="00A9538C"/>
    <w:rsid w:val="00AB4920"/>
    <w:rsid w:val="00AC31E0"/>
    <w:rsid w:val="00AD0A27"/>
    <w:rsid w:val="00B01035"/>
    <w:rsid w:val="00B37679"/>
    <w:rsid w:val="00B41588"/>
    <w:rsid w:val="00B424E4"/>
    <w:rsid w:val="00B45FFC"/>
    <w:rsid w:val="00BC7CCA"/>
    <w:rsid w:val="00BD6A2F"/>
    <w:rsid w:val="00C47C4E"/>
    <w:rsid w:val="00C55B11"/>
    <w:rsid w:val="00C60AD2"/>
    <w:rsid w:val="00C641C2"/>
    <w:rsid w:val="00C71008"/>
    <w:rsid w:val="00C87E36"/>
    <w:rsid w:val="00C962E2"/>
    <w:rsid w:val="00CB379B"/>
    <w:rsid w:val="00CC2BA2"/>
    <w:rsid w:val="00D11CBC"/>
    <w:rsid w:val="00DE3416"/>
    <w:rsid w:val="00E12995"/>
    <w:rsid w:val="00E168F7"/>
    <w:rsid w:val="00E2143D"/>
    <w:rsid w:val="00E436A4"/>
    <w:rsid w:val="00E448B3"/>
    <w:rsid w:val="00E621C9"/>
    <w:rsid w:val="00E87632"/>
    <w:rsid w:val="00EB52B4"/>
    <w:rsid w:val="00EC1B97"/>
    <w:rsid w:val="00ED0738"/>
    <w:rsid w:val="00EF2630"/>
    <w:rsid w:val="00EF7AF7"/>
    <w:rsid w:val="00F11D03"/>
    <w:rsid w:val="00F16756"/>
    <w:rsid w:val="00F27B91"/>
    <w:rsid w:val="00FA4C49"/>
    <w:rsid w:val="00FB55B6"/>
    <w:rsid w:val="00FC58B2"/>
    <w:rsid w:val="00FD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996B7B"/>
  <w15:chartTrackingRefBased/>
  <w15:docId w15:val="{29D89236-47E3-4A3A-ADAA-EEFDA5FA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C9"/>
    <w:pPr>
      <w:ind w:left="720"/>
      <w:contextualSpacing/>
    </w:pPr>
  </w:style>
  <w:style w:type="paragraph" w:styleId="Header">
    <w:name w:val="header"/>
    <w:basedOn w:val="Normal"/>
    <w:link w:val="HeaderChar"/>
    <w:uiPriority w:val="99"/>
    <w:unhideWhenUsed/>
    <w:rsid w:val="00005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25D"/>
  </w:style>
  <w:style w:type="paragraph" w:styleId="Footer">
    <w:name w:val="footer"/>
    <w:basedOn w:val="Normal"/>
    <w:link w:val="FooterChar"/>
    <w:uiPriority w:val="99"/>
    <w:unhideWhenUsed/>
    <w:rsid w:val="00005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25D"/>
  </w:style>
  <w:style w:type="character" w:styleId="Hyperlink">
    <w:name w:val="Hyperlink"/>
    <w:basedOn w:val="DefaultParagraphFont"/>
    <w:uiPriority w:val="99"/>
    <w:unhideWhenUsed/>
    <w:rsid w:val="0083644D"/>
    <w:rPr>
      <w:color w:val="0563C1" w:themeColor="hyperlink"/>
      <w:u w:val="single"/>
    </w:rPr>
  </w:style>
  <w:style w:type="paragraph" w:styleId="BalloonText">
    <w:name w:val="Balloon Text"/>
    <w:basedOn w:val="Normal"/>
    <w:link w:val="BalloonTextChar"/>
    <w:uiPriority w:val="99"/>
    <w:semiHidden/>
    <w:unhideWhenUsed/>
    <w:rsid w:val="00235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2BE"/>
    <w:rPr>
      <w:rFonts w:ascii="Segoe UI" w:hAnsi="Segoe UI" w:cs="Segoe UI"/>
      <w:sz w:val="18"/>
      <w:szCs w:val="18"/>
    </w:rPr>
  </w:style>
  <w:style w:type="paragraph" w:styleId="FootnoteText">
    <w:name w:val="footnote text"/>
    <w:basedOn w:val="Normal"/>
    <w:link w:val="FootnoteTextChar"/>
    <w:uiPriority w:val="99"/>
    <w:semiHidden/>
    <w:unhideWhenUsed/>
    <w:rsid w:val="009A3C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C93"/>
    <w:rPr>
      <w:sz w:val="20"/>
      <w:szCs w:val="20"/>
    </w:rPr>
  </w:style>
  <w:style w:type="character" w:styleId="FootnoteReference">
    <w:name w:val="footnote reference"/>
    <w:basedOn w:val="DefaultParagraphFont"/>
    <w:uiPriority w:val="99"/>
    <w:semiHidden/>
    <w:unhideWhenUsed/>
    <w:rsid w:val="009A3C93"/>
    <w:rPr>
      <w:vertAlign w:val="superscript"/>
    </w:rPr>
  </w:style>
  <w:style w:type="table" w:styleId="TableGrid">
    <w:name w:val="Table Grid"/>
    <w:basedOn w:val="TableNormal"/>
    <w:uiPriority w:val="39"/>
    <w:rsid w:val="00B010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0814">
      <w:bodyDiv w:val="1"/>
      <w:marLeft w:val="0"/>
      <w:marRight w:val="0"/>
      <w:marTop w:val="0"/>
      <w:marBottom w:val="0"/>
      <w:divBdr>
        <w:top w:val="none" w:sz="0" w:space="0" w:color="auto"/>
        <w:left w:val="none" w:sz="0" w:space="0" w:color="auto"/>
        <w:bottom w:val="none" w:sz="0" w:space="0" w:color="auto"/>
        <w:right w:val="none" w:sz="0" w:space="0" w:color="auto"/>
      </w:divBdr>
    </w:div>
    <w:div w:id="329990439">
      <w:bodyDiv w:val="1"/>
      <w:marLeft w:val="0"/>
      <w:marRight w:val="0"/>
      <w:marTop w:val="0"/>
      <w:marBottom w:val="0"/>
      <w:divBdr>
        <w:top w:val="none" w:sz="0" w:space="0" w:color="auto"/>
        <w:left w:val="none" w:sz="0" w:space="0" w:color="auto"/>
        <w:bottom w:val="none" w:sz="0" w:space="0" w:color="auto"/>
        <w:right w:val="none" w:sz="0" w:space="0" w:color="auto"/>
      </w:divBdr>
      <w:divsChild>
        <w:div w:id="1034428304">
          <w:marLeft w:val="403"/>
          <w:marRight w:val="0"/>
          <w:marTop w:val="0"/>
          <w:marBottom w:val="0"/>
          <w:divBdr>
            <w:top w:val="none" w:sz="0" w:space="0" w:color="auto"/>
            <w:left w:val="none" w:sz="0" w:space="0" w:color="auto"/>
            <w:bottom w:val="none" w:sz="0" w:space="0" w:color="auto"/>
            <w:right w:val="none" w:sz="0" w:space="0" w:color="auto"/>
          </w:divBdr>
        </w:div>
        <w:div w:id="1443113317">
          <w:marLeft w:val="403"/>
          <w:marRight w:val="0"/>
          <w:marTop w:val="0"/>
          <w:marBottom w:val="0"/>
          <w:divBdr>
            <w:top w:val="none" w:sz="0" w:space="0" w:color="auto"/>
            <w:left w:val="none" w:sz="0" w:space="0" w:color="auto"/>
            <w:bottom w:val="none" w:sz="0" w:space="0" w:color="auto"/>
            <w:right w:val="none" w:sz="0" w:space="0" w:color="auto"/>
          </w:divBdr>
        </w:div>
        <w:div w:id="1827932555">
          <w:marLeft w:val="403"/>
          <w:marRight w:val="0"/>
          <w:marTop w:val="0"/>
          <w:marBottom w:val="0"/>
          <w:divBdr>
            <w:top w:val="none" w:sz="0" w:space="0" w:color="auto"/>
            <w:left w:val="none" w:sz="0" w:space="0" w:color="auto"/>
            <w:bottom w:val="none" w:sz="0" w:space="0" w:color="auto"/>
            <w:right w:val="none" w:sz="0" w:space="0" w:color="auto"/>
          </w:divBdr>
        </w:div>
        <w:div w:id="1929727669">
          <w:marLeft w:val="403"/>
          <w:marRight w:val="0"/>
          <w:marTop w:val="0"/>
          <w:marBottom w:val="0"/>
          <w:divBdr>
            <w:top w:val="none" w:sz="0" w:space="0" w:color="auto"/>
            <w:left w:val="none" w:sz="0" w:space="0" w:color="auto"/>
            <w:bottom w:val="none" w:sz="0" w:space="0" w:color="auto"/>
            <w:right w:val="none" w:sz="0" w:space="0" w:color="auto"/>
          </w:divBdr>
        </w:div>
        <w:div w:id="650984970">
          <w:marLeft w:val="403"/>
          <w:marRight w:val="0"/>
          <w:marTop w:val="0"/>
          <w:marBottom w:val="0"/>
          <w:divBdr>
            <w:top w:val="none" w:sz="0" w:space="0" w:color="auto"/>
            <w:left w:val="none" w:sz="0" w:space="0" w:color="auto"/>
            <w:bottom w:val="none" w:sz="0" w:space="0" w:color="auto"/>
            <w:right w:val="none" w:sz="0" w:space="0" w:color="auto"/>
          </w:divBdr>
        </w:div>
      </w:divsChild>
    </w:div>
    <w:div w:id="1959338062">
      <w:bodyDiv w:val="1"/>
      <w:marLeft w:val="0"/>
      <w:marRight w:val="0"/>
      <w:marTop w:val="0"/>
      <w:marBottom w:val="0"/>
      <w:divBdr>
        <w:top w:val="none" w:sz="0" w:space="0" w:color="auto"/>
        <w:left w:val="none" w:sz="0" w:space="0" w:color="auto"/>
        <w:bottom w:val="none" w:sz="0" w:space="0" w:color="auto"/>
        <w:right w:val="none" w:sz="0" w:space="0" w:color="auto"/>
      </w:divBdr>
      <w:divsChild>
        <w:div w:id="233971759">
          <w:marLeft w:val="403"/>
          <w:marRight w:val="0"/>
          <w:marTop w:val="0"/>
          <w:marBottom w:val="0"/>
          <w:divBdr>
            <w:top w:val="none" w:sz="0" w:space="0" w:color="auto"/>
            <w:left w:val="none" w:sz="0" w:space="0" w:color="auto"/>
            <w:bottom w:val="none" w:sz="0" w:space="0" w:color="auto"/>
            <w:right w:val="none" w:sz="0" w:space="0" w:color="auto"/>
          </w:divBdr>
        </w:div>
        <w:div w:id="1138842839">
          <w:marLeft w:val="403"/>
          <w:marRight w:val="0"/>
          <w:marTop w:val="0"/>
          <w:marBottom w:val="0"/>
          <w:divBdr>
            <w:top w:val="none" w:sz="0" w:space="0" w:color="auto"/>
            <w:left w:val="none" w:sz="0" w:space="0" w:color="auto"/>
            <w:bottom w:val="none" w:sz="0" w:space="0" w:color="auto"/>
            <w:right w:val="none" w:sz="0" w:space="0" w:color="auto"/>
          </w:divBdr>
        </w:div>
        <w:div w:id="1783769187">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rrs.army.mil/Channels/navyedacm/Public/Login" TargetMode="External"/><Relationship Id="rId13" Type="http://schemas.openxmlformats.org/officeDocument/2006/relationships/hyperlink" Target="https://icatalog.dau.edu/DAUFulfillmentPgm.aspx" TargetMode="External"/><Relationship Id="rId18" Type="http://schemas.openxmlformats.org/officeDocument/2006/relationships/hyperlink" Target="https://www.atrrs.army.mil/Channels/navyedacm/Public/Log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d.dau.edu/" TargetMode="External"/><Relationship Id="rId17" Type="http://schemas.openxmlformats.org/officeDocument/2006/relationships/hyperlink" Target="https://www.mynavyhr.navy.mil/Career-Management/Detailing/Officer/Acquisition/" TargetMode="External"/><Relationship Id="rId2" Type="http://schemas.openxmlformats.org/officeDocument/2006/relationships/numbering" Target="numbering.xml"/><Relationship Id="rId16" Type="http://schemas.openxmlformats.org/officeDocument/2006/relationships/hyperlink" Target="https://icatalog.dau.edu/onlinecatalog/pcd.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icatalog.dau.edu/appg.aspx" TargetMode="External"/><Relationship Id="rId10" Type="http://schemas.openxmlformats.org/officeDocument/2006/relationships/hyperlink" Target="https://icatalog.dau.edu/onlinecatalog/CareerLvl.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trrs.army.mil/Channels/navyedacm/Public/Login" TargetMode="External"/><Relationship Id="rId14" Type="http://schemas.openxmlformats.org/officeDocument/2006/relationships/hyperlink" Target="https://www.esd.whs.mil/Directives/forms/dd2500_299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A24FA-909F-4E8D-981A-248C9D70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Heather A CIV USN COMNAVAIRSYSCOM PAX (USA)</dc:creator>
  <cp:keywords/>
  <dc:description/>
  <cp:lastModifiedBy>Jacobs, Heather A CIV USN ASSTSECNAV RDA DC (USA)</cp:lastModifiedBy>
  <cp:revision>4</cp:revision>
  <dcterms:created xsi:type="dcterms:W3CDTF">2022-09-09T12:38:00Z</dcterms:created>
  <dcterms:modified xsi:type="dcterms:W3CDTF">2022-09-12T16:15:00Z</dcterms:modified>
  <cp:contentStatus/>
</cp:coreProperties>
</file>